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9F9" w:rsidRDefault="001F39F9" w:rsidP="001F39F9">
      <w:pPr>
        <w:jc w:val="center"/>
        <w:rPr>
          <w:b/>
          <w:bCs/>
        </w:rPr>
      </w:pPr>
      <w:r>
        <w:rPr>
          <w:b/>
          <w:bCs/>
        </w:rPr>
        <w:t>Séance du 21 février 2020</w:t>
      </w:r>
    </w:p>
    <w:p w:rsidR="001F39F9" w:rsidRDefault="001F39F9" w:rsidP="001F39F9">
      <w:pPr>
        <w:jc w:val="center"/>
        <w:rPr>
          <w:b/>
          <w:bCs/>
        </w:rPr>
      </w:pPr>
      <w:r>
        <w:rPr>
          <w:b/>
          <w:bCs/>
        </w:rPr>
        <w:t>______________________</w:t>
      </w:r>
    </w:p>
    <w:p w:rsidR="001F39F9" w:rsidRPr="00355A52" w:rsidRDefault="001F39F9" w:rsidP="001F39F9">
      <w:pPr>
        <w:jc w:val="both"/>
        <w:rPr>
          <w:b/>
          <w:sz w:val="18"/>
          <w:szCs w:val="18"/>
        </w:rPr>
      </w:pPr>
      <w:r w:rsidRPr="00355A52">
        <w:rPr>
          <w:rFonts w:eastAsia="MS Mincho"/>
          <w:b/>
          <w:sz w:val="18"/>
          <w:szCs w:val="18"/>
          <w:u w:val="single"/>
        </w:rPr>
        <w:t>ÉTAIENT PRÉSENTS</w:t>
      </w:r>
      <w:r w:rsidRPr="00355A52">
        <w:rPr>
          <w:rFonts w:eastAsia="MS Mincho"/>
          <w:b/>
          <w:sz w:val="18"/>
          <w:szCs w:val="18"/>
        </w:rPr>
        <w:t xml:space="preserve"> : LEMAIRE C. ; RENAUD L. </w:t>
      </w:r>
      <w:proofErr w:type="gramStart"/>
      <w:r w:rsidRPr="00355A52">
        <w:rPr>
          <w:rFonts w:eastAsia="MS Mincho"/>
          <w:b/>
          <w:sz w:val="18"/>
          <w:szCs w:val="18"/>
        </w:rPr>
        <w:t>;</w:t>
      </w:r>
      <w:r w:rsidRPr="00355A52">
        <w:rPr>
          <w:b/>
          <w:sz w:val="18"/>
          <w:szCs w:val="18"/>
        </w:rPr>
        <w:t>HOCDE</w:t>
      </w:r>
      <w:proofErr w:type="gramEnd"/>
      <w:r w:rsidRPr="00355A52">
        <w:rPr>
          <w:b/>
          <w:sz w:val="18"/>
          <w:szCs w:val="18"/>
        </w:rPr>
        <w:t xml:space="preserve"> E. ; </w:t>
      </w:r>
      <w:r w:rsidRPr="00355A52">
        <w:rPr>
          <w:rFonts w:eastAsia="MS Mincho"/>
          <w:b/>
          <w:sz w:val="18"/>
          <w:szCs w:val="18"/>
        </w:rPr>
        <w:t>COURTOIS A. ;</w:t>
      </w:r>
      <w:r w:rsidRPr="00355A52">
        <w:rPr>
          <w:b/>
          <w:sz w:val="18"/>
          <w:szCs w:val="18"/>
        </w:rPr>
        <w:t> OBLIGIS A. ;BLANCHARD B. ; MEUNIERJ-J ; LASCAUD A. ;  COURATIN E. ; HERVET-GARCIA T. ; MOULIN A.</w:t>
      </w:r>
      <w:r>
        <w:rPr>
          <w:b/>
          <w:sz w:val="18"/>
          <w:szCs w:val="18"/>
        </w:rPr>
        <w:t>, PORTENSEIGNE L.</w:t>
      </w:r>
      <w:r w:rsidRPr="00355A52">
        <w:rPr>
          <w:b/>
          <w:sz w:val="18"/>
          <w:szCs w:val="18"/>
        </w:rPr>
        <w:t> </w:t>
      </w:r>
    </w:p>
    <w:p w:rsidR="001F39F9" w:rsidRDefault="001F39F9" w:rsidP="001F39F9">
      <w:pPr>
        <w:jc w:val="both"/>
        <w:rPr>
          <w:b/>
          <w:sz w:val="18"/>
          <w:szCs w:val="18"/>
        </w:rPr>
      </w:pPr>
      <w:r w:rsidRPr="00355A52">
        <w:rPr>
          <w:b/>
          <w:sz w:val="18"/>
          <w:szCs w:val="18"/>
          <w:u w:val="single"/>
        </w:rPr>
        <w:t>ETAIENT ABSENTS</w:t>
      </w:r>
      <w:r w:rsidRPr="00355A52">
        <w:rPr>
          <w:b/>
          <w:sz w:val="18"/>
          <w:szCs w:val="18"/>
        </w:rPr>
        <w:t> : BROCHERIEUX D</w:t>
      </w:r>
      <w:r>
        <w:rPr>
          <w:b/>
          <w:sz w:val="18"/>
          <w:szCs w:val="18"/>
        </w:rPr>
        <w:t xml:space="preserve"> (absent)</w:t>
      </w:r>
    </w:p>
    <w:p w:rsidR="001F39F9" w:rsidRDefault="001F39F9" w:rsidP="001F39F9">
      <w:pPr>
        <w:jc w:val="both"/>
        <w:rPr>
          <w:b/>
          <w:sz w:val="18"/>
          <w:szCs w:val="18"/>
        </w:rPr>
      </w:pPr>
      <w:r>
        <w:rPr>
          <w:b/>
          <w:sz w:val="18"/>
          <w:szCs w:val="18"/>
        </w:rPr>
        <w:t xml:space="preserve">GUITTON P. : pouvoir à </w:t>
      </w:r>
      <w:r w:rsidRPr="00355A52">
        <w:rPr>
          <w:b/>
          <w:sz w:val="18"/>
          <w:szCs w:val="18"/>
        </w:rPr>
        <w:t>MEUNIERJ-J </w:t>
      </w:r>
    </w:p>
    <w:p w:rsidR="001F39F9" w:rsidRPr="00355A52" w:rsidRDefault="001F39F9" w:rsidP="001F39F9">
      <w:pPr>
        <w:jc w:val="both"/>
        <w:rPr>
          <w:b/>
          <w:sz w:val="18"/>
          <w:szCs w:val="18"/>
        </w:rPr>
      </w:pPr>
      <w:r w:rsidRPr="00355A52">
        <w:rPr>
          <w:rFonts w:eastAsia="MS Mincho"/>
          <w:b/>
          <w:sz w:val="18"/>
          <w:szCs w:val="18"/>
          <w:u w:val="single"/>
        </w:rPr>
        <w:t>SECRÉTAIRE DE SÉANCE </w:t>
      </w:r>
      <w:r w:rsidRPr="00355A52">
        <w:rPr>
          <w:rFonts w:eastAsia="MS Mincho"/>
          <w:b/>
          <w:sz w:val="18"/>
          <w:szCs w:val="18"/>
        </w:rPr>
        <w:t xml:space="preserve">: </w:t>
      </w:r>
      <w:r>
        <w:rPr>
          <w:rFonts w:eastAsia="MS Mincho"/>
          <w:b/>
          <w:sz w:val="18"/>
          <w:szCs w:val="18"/>
        </w:rPr>
        <w:t>COURTOIS Anna</w:t>
      </w:r>
    </w:p>
    <w:p w:rsidR="001F39F9" w:rsidRDefault="001F39F9" w:rsidP="001F39F9">
      <w:pPr>
        <w:pStyle w:val="Titre2"/>
        <w:jc w:val="center"/>
        <w:rPr>
          <w:u w:val="single"/>
        </w:rPr>
      </w:pPr>
      <w:r>
        <w:rPr>
          <w:u w:val="single"/>
        </w:rPr>
        <w:t>ORDRE DU JOUR</w:t>
      </w:r>
    </w:p>
    <w:p w:rsidR="001F39F9" w:rsidRDefault="001F39F9" w:rsidP="001F39F9"/>
    <w:p w:rsidR="001F39F9" w:rsidRPr="00A5070B" w:rsidRDefault="001F39F9" w:rsidP="001F39F9">
      <w:pPr>
        <w:pStyle w:val="Paragraphedeliste"/>
        <w:numPr>
          <w:ilvl w:val="0"/>
          <w:numId w:val="2"/>
        </w:numPr>
        <w:rPr>
          <w:b/>
          <w:sz w:val="28"/>
          <w:szCs w:val="28"/>
          <w:u w:val="single"/>
        </w:rPr>
      </w:pPr>
      <w:r w:rsidRPr="00A5070B">
        <w:rPr>
          <w:b/>
          <w:sz w:val="28"/>
          <w:szCs w:val="28"/>
          <w:u w:val="single"/>
        </w:rPr>
        <w:t>Approbation de Compte-Rendu</w:t>
      </w:r>
    </w:p>
    <w:p w:rsidR="001F39F9" w:rsidRPr="001F39F9" w:rsidRDefault="001F39F9" w:rsidP="001F39F9">
      <w:pPr>
        <w:ind w:right="-648"/>
      </w:pPr>
      <w:r w:rsidRPr="001F39F9">
        <w:t>Approbation du compte rendu : il reporté à la prochaine séance.</w:t>
      </w:r>
    </w:p>
    <w:p w:rsidR="001F39F9" w:rsidRPr="001F39F9" w:rsidRDefault="001F39F9" w:rsidP="001F39F9">
      <w:pPr>
        <w:ind w:right="-648"/>
      </w:pPr>
    </w:p>
    <w:p w:rsidR="001F39F9" w:rsidRPr="001F39F9" w:rsidRDefault="001F39F9" w:rsidP="001F39F9">
      <w:pPr>
        <w:ind w:left="705" w:right="-648"/>
        <w:jc w:val="both"/>
        <w:rPr>
          <w:b/>
          <w:sz w:val="28"/>
          <w:szCs w:val="28"/>
          <w:u w:val="single"/>
        </w:rPr>
      </w:pPr>
      <w:r w:rsidRPr="001F39F9">
        <w:rPr>
          <w:b/>
          <w:sz w:val="28"/>
          <w:szCs w:val="28"/>
          <w:u w:val="single"/>
        </w:rPr>
        <w:t>2. Compte de Gestion 2019</w:t>
      </w:r>
    </w:p>
    <w:p w:rsidR="001F39F9" w:rsidRPr="001F39F9" w:rsidRDefault="001F39F9" w:rsidP="001F39F9">
      <w:pPr>
        <w:ind w:right="-28"/>
        <w:rPr>
          <w:b/>
          <w:sz w:val="22"/>
          <w:szCs w:val="22"/>
          <w:u w:val="single"/>
        </w:rPr>
      </w:pPr>
      <w:r w:rsidRPr="001F39F9">
        <w:rPr>
          <w:b/>
          <w:sz w:val="22"/>
          <w:szCs w:val="22"/>
          <w:u w:val="single"/>
        </w:rPr>
        <w:t>Délibération n°07 : Vote du compte de gestion 2019</w:t>
      </w:r>
    </w:p>
    <w:p w:rsidR="001F39F9" w:rsidRPr="001F39F9" w:rsidRDefault="001F39F9" w:rsidP="001F39F9">
      <w:pPr>
        <w:ind w:right="-28"/>
        <w:jc w:val="both"/>
        <w:rPr>
          <w:sz w:val="22"/>
          <w:szCs w:val="22"/>
        </w:rPr>
      </w:pPr>
      <w:r w:rsidRPr="001F39F9">
        <w:rPr>
          <w:sz w:val="22"/>
          <w:szCs w:val="22"/>
        </w:rPr>
        <w:t>A l’unanimité  le Conseil Municipal, par 13 voix pour, approuve le compte de gestion 2019.</w:t>
      </w:r>
    </w:p>
    <w:p w:rsidR="001F39F9" w:rsidRPr="001F39F9" w:rsidRDefault="001F39F9" w:rsidP="001F39F9">
      <w:pPr>
        <w:rPr>
          <w:sz w:val="22"/>
          <w:szCs w:val="22"/>
        </w:rPr>
      </w:pPr>
    </w:p>
    <w:p w:rsidR="001F39F9" w:rsidRPr="001F39F9" w:rsidRDefault="001F39F9" w:rsidP="001F39F9">
      <w:pPr>
        <w:ind w:right="-28" w:firstLine="708"/>
        <w:jc w:val="both"/>
        <w:rPr>
          <w:sz w:val="28"/>
          <w:szCs w:val="28"/>
        </w:rPr>
      </w:pPr>
      <w:r w:rsidRPr="001F39F9">
        <w:rPr>
          <w:b/>
          <w:sz w:val="28"/>
          <w:szCs w:val="28"/>
        </w:rPr>
        <w:t>3</w:t>
      </w:r>
      <w:r w:rsidRPr="001F39F9">
        <w:rPr>
          <w:b/>
          <w:sz w:val="28"/>
          <w:szCs w:val="28"/>
          <w:u w:val="single"/>
        </w:rPr>
        <w:t>. Compte Administratif 2019</w:t>
      </w:r>
    </w:p>
    <w:p w:rsidR="001F39F9" w:rsidRPr="001F39F9" w:rsidRDefault="001F39F9" w:rsidP="001F39F9">
      <w:pPr>
        <w:ind w:right="-28"/>
        <w:jc w:val="both"/>
        <w:rPr>
          <w:b/>
          <w:snapToGrid w:val="0"/>
          <w:sz w:val="22"/>
          <w:szCs w:val="22"/>
          <w:u w:val="single"/>
        </w:rPr>
      </w:pPr>
      <w:r w:rsidRPr="001F39F9">
        <w:rPr>
          <w:b/>
          <w:sz w:val="22"/>
          <w:szCs w:val="22"/>
          <w:u w:val="single"/>
        </w:rPr>
        <w:t xml:space="preserve">Délibération n°08 : </w:t>
      </w:r>
      <w:r w:rsidRPr="001F39F9">
        <w:rPr>
          <w:b/>
          <w:snapToGrid w:val="0"/>
          <w:sz w:val="22"/>
          <w:szCs w:val="22"/>
          <w:u w:val="single"/>
        </w:rPr>
        <w:t>Vote du Compte Administratif 2019</w:t>
      </w:r>
    </w:p>
    <w:p w:rsidR="001F39F9" w:rsidRPr="001F39F9" w:rsidRDefault="001F39F9" w:rsidP="001F39F9">
      <w:pPr>
        <w:ind w:right="-28"/>
        <w:jc w:val="both"/>
        <w:rPr>
          <w:b/>
          <w:snapToGrid w:val="0"/>
          <w:sz w:val="22"/>
          <w:szCs w:val="22"/>
          <w:u w:val="single"/>
        </w:rPr>
      </w:pPr>
      <w:r w:rsidRPr="001F39F9">
        <w:rPr>
          <w:sz w:val="22"/>
          <w:szCs w:val="22"/>
        </w:rPr>
        <w:t>(Sortie de Madame Lemaire Catherine, Maire)</w:t>
      </w:r>
    </w:p>
    <w:p w:rsidR="001F39F9" w:rsidRPr="001F39F9" w:rsidRDefault="001F39F9" w:rsidP="001F39F9">
      <w:pPr>
        <w:ind w:right="-28"/>
        <w:jc w:val="both"/>
        <w:rPr>
          <w:sz w:val="22"/>
          <w:szCs w:val="22"/>
        </w:rPr>
      </w:pPr>
      <w:r w:rsidRPr="001F39F9">
        <w:rPr>
          <w:sz w:val="22"/>
          <w:szCs w:val="22"/>
        </w:rPr>
        <w:t>Le Conseil Municipal, réuni sous la présidence de M. MEUNIER Jean-Jacques, délibérant sur le compte administratif de l’exercice 2019, dressé par Catherine Lemaire. Après s’être fait présenter le budget primitif et les décisions modificatives de l’exercice considéré :</w:t>
      </w:r>
    </w:p>
    <w:p w:rsidR="001F39F9" w:rsidRPr="001F39F9" w:rsidRDefault="001F39F9" w:rsidP="001F39F9">
      <w:pPr>
        <w:pStyle w:val="Paragraphedeliste"/>
        <w:numPr>
          <w:ilvl w:val="0"/>
          <w:numId w:val="3"/>
        </w:numPr>
        <w:ind w:right="-648"/>
        <w:jc w:val="both"/>
        <w:rPr>
          <w:sz w:val="22"/>
          <w:szCs w:val="22"/>
        </w:rPr>
      </w:pPr>
      <w:r w:rsidRPr="001F39F9">
        <w:rPr>
          <w:sz w:val="22"/>
          <w:szCs w:val="22"/>
        </w:rPr>
        <w:t xml:space="preserve">lui donne acte de la présentation faite du compte administratif, lequel peut se résumer ainsi : </w:t>
      </w:r>
    </w:p>
    <w:tbl>
      <w:tblPr>
        <w:tblW w:w="10253" w:type="dxa"/>
        <w:tblInd w:w="-152" w:type="dxa"/>
        <w:tblCellMar>
          <w:left w:w="70" w:type="dxa"/>
          <w:right w:w="70" w:type="dxa"/>
        </w:tblCellMar>
        <w:tblLook w:val="04A0" w:firstRow="1" w:lastRow="0" w:firstColumn="1" w:lastColumn="0" w:noHBand="0" w:noVBand="1"/>
      </w:tblPr>
      <w:tblGrid>
        <w:gridCol w:w="2382"/>
        <w:gridCol w:w="1180"/>
        <w:gridCol w:w="1303"/>
        <w:gridCol w:w="1303"/>
        <w:gridCol w:w="1303"/>
        <w:gridCol w:w="1303"/>
        <w:gridCol w:w="1479"/>
      </w:tblGrid>
      <w:tr w:rsidR="001F39F9" w:rsidRPr="001F39F9" w:rsidTr="008F7A02">
        <w:trPr>
          <w:trHeight w:val="300"/>
        </w:trPr>
        <w:tc>
          <w:tcPr>
            <w:tcW w:w="2382" w:type="dxa"/>
            <w:tcBorders>
              <w:top w:val="single" w:sz="8" w:space="0" w:color="auto"/>
              <w:left w:val="single" w:sz="8" w:space="0" w:color="auto"/>
              <w:bottom w:val="single" w:sz="4" w:space="0" w:color="auto"/>
              <w:right w:val="nil"/>
            </w:tcBorders>
            <w:noWrap/>
            <w:vAlign w:val="bottom"/>
            <w:hideMark/>
          </w:tcPr>
          <w:p w:rsidR="001F39F9" w:rsidRPr="001F39F9" w:rsidRDefault="001F39F9" w:rsidP="008F7A02">
            <w:pPr>
              <w:spacing w:line="256" w:lineRule="auto"/>
              <w:jc w:val="center"/>
              <w:rPr>
                <w:sz w:val="22"/>
                <w:szCs w:val="22"/>
                <w:lang w:eastAsia="en-US"/>
              </w:rPr>
            </w:pPr>
            <w:r w:rsidRPr="001F39F9">
              <w:rPr>
                <w:sz w:val="22"/>
                <w:szCs w:val="22"/>
                <w:lang w:eastAsia="en-US"/>
              </w:rPr>
              <w:t>LIBELLÉ</w:t>
            </w:r>
          </w:p>
        </w:tc>
        <w:tc>
          <w:tcPr>
            <w:tcW w:w="2483" w:type="dxa"/>
            <w:gridSpan w:val="2"/>
            <w:tcBorders>
              <w:top w:val="single" w:sz="8" w:space="0" w:color="auto"/>
              <w:left w:val="single" w:sz="4" w:space="0" w:color="auto"/>
              <w:bottom w:val="single" w:sz="4" w:space="0" w:color="auto"/>
              <w:right w:val="single" w:sz="4" w:space="0" w:color="000000"/>
            </w:tcBorders>
            <w:noWrap/>
            <w:vAlign w:val="bottom"/>
            <w:hideMark/>
          </w:tcPr>
          <w:p w:rsidR="001F39F9" w:rsidRPr="001F39F9" w:rsidRDefault="001F39F9" w:rsidP="008F7A02">
            <w:pPr>
              <w:spacing w:line="256" w:lineRule="auto"/>
              <w:jc w:val="center"/>
              <w:rPr>
                <w:sz w:val="22"/>
                <w:szCs w:val="22"/>
                <w:lang w:eastAsia="en-US"/>
              </w:rPr>
            </w:pPr>
            <w:r w:rsidRPr="001F39F9">
              <w:rPr>
                <w:sz w:val="22"/>
                <w:szCs w:val="22"/>
                <w:lang w:eastAsia="en-US"/>
              </w:rPr>
              <w:t>FONCTIONNEMENT</w:t>
            </w:r>
          </w:p>
        </w:tc>
        <w:tc>
          <w:tcPr>
            <w:tcW w:w="2606" w:type="dxa"/>
            <w:gridSpan w:val="2"/>
            <w:tcBorders>
              <w:top w:val="single" w:sz="8" w:space="0" w:color="auto"/>
              <w:left w:val="nil"/>
              <w:bottom w:val="single" w:sz="4" w:space="0" w:color="auto"/>
              <w:right w:val="single" w:sz="4" w:space="0" w:color="000000"/>
            </w:tcBorders>
            <w:noWrap/>
            <w:vAlign w:val="bottom"/>
            <w:hideMark/>
          </w:tcPr>
          <w:p w:rsidR="001F39F9" w:rsidRPr="001F39F9" w:rsidRDefault="001F39F9" w:rsidP="008F7A02">
            <w:pPr>
              <w:spacing w:line="256" w:lineRule="auto"/>
              <w:jc w:val="center"/>
              <w:rPr>
                <w:sz w:val="22"/>
                <w:szCs w:val="22"/>
                <w:lang w:eastAsia="en-US"/>
              </w:rPr>
            </w:pPr>
            <w:r w:rsidRPr="001F39F9">
              <w:rPr>
                <w:sz w:val="22"/>
                <w:szCs w:val="22"/>
                <w:lang w:eastAsia="en-US"/>
              </w:rPr>
              <w:t>INVESTISSEMENT</w:t>
            </w:r>
          </w:p>
        </w:tc>
        <w:tc>
          <w:tcPr>
            <w:tcW w:w="2782" w:type="dxa"/>
            <w:gridSpan w:val="2"/>
            <w:tcBorders>
              <w:top w:val="single" w:sz="8" w:space="0" w:color="auto"/>
              <w:left w:val="nil"/>
              <w:bottom w:val="single" w:sz="4" w:space="0" w:color="auto"/>
              <w:right w:val="single" w:sz="8" w:space="0" w:color="000000"/>
            </w:tcBorders>
            <w:noWrap/>
            <w:vAlign w:val="bottom"/>
            <w:hideMark/>
          </w:tcPr>
          <w:p w:rsidR="001F39F9" w:rsidRPr="001F39F9" w:rsidRDefault="001F39F9" w:rsidP="008F7A02">
            <w:pPr>
              <w:spacing w:line="256" w:lineRule="auto"/>
              <w:ind w:left="-912" w:firstLine="180"/>
              <w:jc w:val="center"/>
              <w:rPr>
                <w:sz w:val="22"/>
                <w:szCs w:val="22"/>
                <w:lang w:eastAsia="en-US"/>
              </w:rPr>
            </w:pPr>
            <w:r w:rsidRPr="001F39F9">
              <w:rPr>
                <w:sz w:val="22"/>
                <w:szCs w:val="22"/>
                <w:lang w:eastAsia="en-US"/>
              </w:rPr>
              <w:t>ENSEMBLE</w:t>
            </w:r>
          </w:p>
        </w:tc>
      </w:tr>
      <w:tr w:rsidR="001F39F9" w:rsidRPr="001F39F9" w:rsidTr="008F7A02">
        <w:trPr>
          <w:trHeight w:val="300"/>
        </w:trPr>
        <w:tc>
          <w:tcPr>
            <w:tcW w:w="2382" w:type="dxa"/>
            <w:tcBorders>
              <w:top w:val="nil"/>
              <w:left w:val="single" w:sz="8" w:space="0" w:color="auto"/>
              <w:bottom w:val="nil"/>
              <w:right w:val="nil"/>
            </w:tcBorders>
            <w:noWrap/>
            <w:vAlign w:val="bottom"/>
            <w:hideMark/>
          </w:tcPr>
          <w:p w:rsidR="001F39F9" w:rsidRPr="001F39F9" w:rsidRDefault="001F39F9" w:rsidP="008F7A02">
            <w:pPr>
              <w:spacing w:line="256" w:lineRule="auto"/>
              <w:rPr>
                <w:sz w:val="18"/>
                <w:szCs w:val="18"/>
                <w:lang w:eastAsia="en-US"/>
              </w:rPr>
            </w:pPr>
            <w:r w:rsidRPr="001F39F9">
              <w:rPr>
                <w:sz w:val="18"/>
                <w:szCs w:val="18"/>
                <w:lang w:eastAsia="en-US"/>
              </w:rPr>
              <w:t>COMPTE ADMINISTRATIF PRINCIPAL</w:t>
            </w:r>
          </w:p>
        </w:tc>
        <w:tc>
          <w:tcPr>
            <w:tcW w:w="1180" w:type="dxa"/>
            <w:tcBorders>
              <w:top w:val="nil"/>
              <w:left w:val="single" w:sz="4" w:space="0" w:color="auto"/>
              <w:bottom w:val="nil"/>
              <w:right w:val="nil"/>
            </w:tcBorders>
            <w:noWrap/>
            <w:vAlign w:val="bottom"/>
            <w:hideMark/>
          </w:tcPr>
          <w:p w:rsidR="001F39F9" w:rsidRPr="001F39F9" w:rsidRDefault="001F39F9" w:rsidP="008F7A02">
            <w:pPr>
              <w:spacing w:line="256" w:lineRule="auto"/>
              <w:jc w:val="center"/>
              <w:rPr>
                <w:sz w:val="22"/>
                <w:szCs w:val="22"/>
                <w:lang w:eastAsia="en-US"/>
              </w:rPr>
            </w:pPr>
            <w:r w:rsidRPr="001F39F9">
              <w:rPr>
                <w:sz w:val="22"/>
                <w:szCs w:val="22"/>
                <w:lang w:eastAsia="en-US"/>
              </w:rPr>
              <w:t>Dépenses</w:t>
            </w:r>
          </w:p>
        </w:tc>
        <w:tc>
          <w:tcPr>
            <w:tcW w:w="1303" w:type="dxa"/>
            <w:tcBorders>
              <w:top w:val="nil"/>
              <w:left w:val="single" w:sz="4" w:space="0" w:color="auto"/>
              <w:bottom w:val="nil"/>
              <w:right w:val="single" w:sz="4" w:space="0" w:color="auto"/>
            </w:tcBorders>
            <w:noWrap/>
            <w:vAlign w:val="bottom"/>
            <w:hideMark/>
          </w:tcPr>
          <w:p w:rsidR="001F39F9" w:rsidRPr="001F39F9" w:rsidRDefault="001F39F9" w:rsidP="008F7A02">
            <w:pPr>
              <w:spacing w:line="256" w:lineRule="auto"/>
              <w:jc w:val="center"/>
              <w:rPr>
                <w:sz w:val="22"/>
                <w:szCs w:val="22"/>
                <w:lang w:eastAsia="en-US"/>
              </w:rPr>
            </w:pPr>
            <w:r w:rsidRPr="001F39F9">
              <w:rPr>
                <w:sz w:val="22"/>
                <w:szCs w:val="22"/>
                <w:lang w:eastAsia="en-US"/>
              </w:rPr>
              <w:t>Recettes</w:t>
            </w:r>
          </w:p>
        </w:tc>
        <w:tc>
          <w:tcPr>
            <w:tcW w:w="1303" w:type="dxa"/>
            <w:noWrap/>
            <w:vAlign w:val="bottom"/>
            <w:hideMark/>
          </w:tcPr>
          <w:p w:rsidR="001F39F9" w:rsidRPr="001F39F9" w:rsidRDefault="001F39F9" w:rsidP="008F7A02">
            <w:pPr>
              <w:spacing w:line="256" w:lineRule="auto"/>
              <w:jc w:val="center"/>
              <w:rPr>
                <w:sz w:val="22"/>
                <w:szCs w:val="22"/>
                <w:lang w:eastAsia="en-US"/>
              </w:rPr>
            </w:pPr>
            <w:r w:rsidRPr="001F39F9">
              <w:rPr>
                <w:sz w:val="22"/>
                <w:szCs w:val="22"/>
                <w:lang w:eastAsia="en-US"/>
              </w:rPr>
              <w:t>Dépenses</w:t>
            </w:r>
          </w:p>
        </w:tc>
        <w:tc>
          <w:tcPr>
            <w:tcW w:w="1303" w:type="dxa"/>
            <w:tcBorders>
              <w:top w:val="nil"/>
              <w:left w:val="single" w:sz="4" w:space="0" w:color="auto"/>
              <w:bottom w:val="nil"/>
              <w:right w:val="single" w:sz="4" w:space="0" w:color="auto"/>
            </w:tcBorders>
            <w:noWrap/>
            <w:vAlign w:val="bottom"/>
            <w:hideMark/>
          </w:tcPr>
          <w:p w:rsidR="001F39F9" w:rsidRPr="001F39F9" w:rsidRDefault="001F39F9" w:rsidP="008F7A02">
            <w:pPr>
              <w:spacing w:line="256" w:lineRule="auto"/>
              <w:jc w:val="center"/>
              <w:rPr>
                <w:sz w:val="22"/>
                <w:szCs w:val="22"/>
                <w:lang w:eastAsia="en-US"/>
              </w:rPr>
            </w:pPr>
            <w:r w:rsidRPr="001F39F9">
              <w:rPr>
                <w:sz w:val="22"/>
                <w:szCs w:val="22"/>
                <w:lang w:eastAsia="en-US"/>
              </w:rPr>
              <w:t>Recettes</w:t>
            </w:r>
          </w:p>
        </w:tc>
        <w:tc>
          <w:tcPr>
            <w:tcW w:w="1303" w:type="dxa"/>
            <w:noWrap/>
            <w:vAlign w:val="bottom"/>
            <w:hideMark/>
          </w:tcPr>
          <w:p w:rsidR="001F39F9" w:rsidRPr="001F39F9" w:rsidRDefault="001F39F9" w:rsidP="008F7A02">
            <w:pPr>
              <w:spacing w:line="256" w:lineRule="auto"/>
              <w:jc w:val="center"/>
              <w:rPr>
                <w:sz w:val="22"/>
                <w:szCs w:val="22"/>
                <w:lang w:eastAsia="en-US"/>
              </w:rPr>
            </w:pPr>
            <w:r w:rsidRPr="001F39F9">
              <w:rPr>
                <w:sz w:val="22"/>
                <w:szCs w:val="22"/>
                <w:lang w:eastAsia="en-US"/>
              </w:rPr>
              <w:t>Dépenses</w:t>
            </w:r>
          </w:p>
        </w:tc>
        <w:tc>
          <w:tcPr>
            <w:tcW w:w="1479" w:type="dxa"/>
            <w:tcBorders>
              <w:top w:val="nil"/>
              <w:left w:val="single" w:sz="4" w:space="0" w:color="auto"/>
              <w:bottom w:val="nil"/>
              <w:right w:val="single" w:sz="8" w:space="0" w:color="auto"/>
            </w:tcBorders>
            <w:noWrap/>
            <w:vAlign w:val="bottom"/>
            <w:hideMark/>
          </w:tcPr>
          <w:p w:rsidR="001F39F9" w:rsidRPr="001F39F9" w:rsidRDefault="001F39F9" w:rsidP="008F7A02">
            <w:pPr>
              <w:spacing w:line="256" w:lineRule="auto"/>
              <w:jc w:val="center"/>
              <w:rPr>
                <w:sz w:val="22"/>
                <w:szCs w:val="22"/>
                <w:lang w:eastAsia="en-US"/>
              </w:rPr>
            </w:pPr>
            <w:r w:rsidRPr="001F39F9">
              <w:rPr>
                <w:sz w:val="22"/>
                <w:szCs w:val="22"/>
                <w:lang w:eastAsia="en-US"/>
              </w:rPr>
              <w:t>Recettes</w:t>
            </w:r>
          </w:p>
        </w:tc>
      </w:tr>
      <w:tr w:rsidR="001F39F9" w:rsidRPr="001F39F9" w:rsidTr="008F7A02">
        <w:trPr>
          <w:trHeight w:val="300"/>
        </w:trPr>
        <w:tc>
          <w:tcPr>
            <w:tcW w:w="2382" w:type="dxa"/>
            <w:tcBorders>
              <w:top w:val="single" w:sz="4" w:space="0" w:color="auto"/>
              <w:left w:val="single" w:sz="8" w:space="0" w:color="auto"/>
              <w:bottom w:val="single" w:sz="4" w:space="0" w:color="auto"/>
              <w:right w:val="nil"/>
            </w:tcBorders>
            <w:noWrap/>
            <w:vAlign w:val="bottom"/>
            <w:hideMark/>
          </w:tcPr>
          <w:p w:rsidR="001F39F9" w:rsidRPr="001F39F9" w:rsidRDefault="001F39F9" w:rsidP="008F7A02">
            <w:pPr>
              <w:spacing w:line="256" w:lineRule="auto"/>
              <w:rPr>
                <w:sz w:val="22"/>
                <w:szCs w:val="22"/>
                <w:lang w:eastAsia="en-US"/>
              </w:rPr>
            </w:pPr>
            <w:r w:rsidRPr="001F39F9">
              <w:rPr>
                <w:sz w:val="22"/>
                <w:szCs w:val="22"/>
                <w:lang w:eastAsia="en-US"/>
              </w:rPr>
              <w:t>Résultats reportés</w:t>
            </w:r>
          </w:p>
        </w:tc>
        <w:tc>
          <w:tcPr>
            <w:tcW w:w="1180" w:type="dxa"/>
            <w:tcBorders>
              <w:top w:val="single" w:sz="4" w:space="0" w:color="auto"/>
              <w:left w:val="single" w:sz="4" w:space="0" w:color="auto"/>
              <w:bottom w:val="single" w:sz="4" w:space="0" w:color="auto"/>
              <w:right w:val="nil"/>
            </w:tcBorders>
            <w:noWrap/>
            <w:vAlign w:val="bottom"/>
          </w:tcPr>
          <w:p w:rsidR="001F39F9" w:rsidRPr="001F39F9" w:rsidRDefault="001F39F9" w:rsidP="008F7A02">
            <w:pPr>
              <w:spacing w:line="256" w:lineRule="auto"/>
              <w:rPr>
                <w:sz w:val="22"/>
                <w:szCs w:val="22"/>
                <w:lang w:eastAsia="en-US"/>
              </w:rPr>
            </w:pPr>
          </w:p>
        </w:tc>
        <w:tc>
          <w:tcPr>
            <w:tcW w:w="1303" w:type="dxa"/>
            <w:tcBorders>
              <w:top w:val="single" w:sz="4" w:space="0" w:color="auto"/>
              <w:left w:val="single" w:sz="4" w:space="0" w:color="auto"/>
              <w:bottom w:val="single" w:sz="4" w:space="0" w:color="auto"/>
              <w:right w:val="single" w:sz="4" w:space="0" w:color="auto"/>
            </w:tcBorders>
            <w:noWrap/>
            <w:vAlign w:val="bottom"/>
            <w:hideMark/>
          </w:tcPr>
          <w:p w:rsidR="001F39F9" w:rsidRPr="001F39F9" w:rsidRDefault="001F39F9" w:rsidP="008F7A02">
            <w:pPr>
              <w:spacing w:line="256" w:lineRule="auto"/>
              <w:jc w:val="right"/>
              <w:rPr>
                <w:sz w:val="22"/>
                <w:szCs w:val="22"/>
                <w:lang w:eastAsia="en-US"/>
              </w:rPr>
            </w:pPr>
            <w:r w:rsidRPr="001F39F9">
              <w:rPr>
                <w:sz w:val="22"/>
                <w:szCs w:val="22"/>
                <w:lang w:eastAsia="en-US"/>
              </w:rPr>
              <w:t>290 906.98</w:t>
            </w:r>
          </w:p>
        </w:tc>
        <w:tc>
          <w:tcPr>
            <w:tcW w:w="1303" w:type="dxa"/>
            <w:tcBorders>
              <w:top w:val="single" w:sz="4" w:space="0" w:color="auto"/>
              <w:left w:val="nil"/>
              <w:bottom w:val="single" w:sz="4" w:space="0" w:color="auto"/>
              <w:right w:val="nil"/>
            </w:tcBorders>
            <w:noWrap/>
            <w:vAlign w:val="bottom"/>
            <w:hideMark/>
          </w:tcPr>
          <w:p w:rsidR="001F39F9" w:rsidRPr="001F39F9" w:rsidRDefault="001F39F9" w:rsidP="008F7A02">
            <w:pPr>
              <w:spacing w:line="256" w:lineRule="auto"/>
              <w:jc w:val="right"/>
              <w:rPr>
                <w:sz w:val="22"/>
                <w:szCs w:val="22"/>
                <w:lang w:eastAsia="en-US"/>
              </w:rPr>
            </w:pPr>
          </w:p>
        </w:tc>
        <w:tc>
          <w:tcPr>
            <w:tcW w:w="1303" w:type="dxa"/>
            <w:tcBorders>
              <w:top w:val="single" w:sz="4" w:space="0" w:color="auto"/>
              <w:left w:val="single" w:sz="4" w:space="0" w:color="auto"/>
              <w:bottom w:val="single" w:sz="4" w:space="0" w:color="auto"/>
              <w:right w:val="single" w:sz="4" w:space="0" w:color="auto"/>
            </w:tcBorders>
            <w:noWrap/>
            <w:vAlign w:val="bottom"/>
          </w:tcPr>
          <w:p w:rsidR="001F39F9" w:rsidRPr="001F39F9" w:rsidRDefault="001F39F9" w:rsidP="008F7A02">
            <w:pPr>
              <w:spacing w:line="256" w:lineRule="auto"/>
              <w:jc w:val="right"/>
              <w:rPr>
                <w:sz w:val="22"/>
                <w:szCs w:val="22"/>
                <w:lang w:eastAsia="en-US"/>
              </w:rPr>
            </w:pPr>
            <w:r w:rsidRPr="001F39F9">
              <w:rPr>
                <w:sz w:val="22"/>
                <w:szCs w:val="22"/>
                <w:lang w:eastAsia="en-US"/>
              </w:rPr>
              <w:t>84 409.44</w:t>
            </w:r>
          </w:p>
        </w:tc>
        <w:tc>
          <w:tcPr>
            <w:tcW w:w="1303" w:type="dxa"/>
            <w:tcBorders>
              <w:top w:val="single" w:sz="4" w:space="0" w:color="auto"/>
              <w:left w:val="nil"/>
              <w:bottom w:val="single" w:sz="4" w:space="0" w:color="auto"/>
              <w:right w:val="nil"/>
            </w:tcBorders>
            <w:noWrap/>
            <w:vAlign w:val="bottom"/>
          </w:tcPr>
          <w:p w:rsidR="001F39F9" w:rsidRPr="001F39F9" w:rsidRDefault="001F39F9" w:rsidP="008F7A02">
            <w:pPr>
              <w:spacing w:line="256" w:lineRule="auto"/>
              <w:jc w:val="right"/>
              <w:rPr>
                <w:sz w:val="22"/>
                <w:szCs w:val="22"/>
                <w:lang w:eastAsia="en-US"/>
              </w:rPr>
            </w:pPr>
          </w:p>
        </w:tc>
        <w:tc>
          <w:tcPr>
            <w:tcW w:w="1479" w:type="dxa"/>
            <w:tcBorders>
              <w:top w:val="single" w:sz="4" w:space="0" w:color="auto"/>
              <w:left w:val="single" w:sz="4" w:space="0" w:color="auto"/>
              <w:bottom w:val="single" w:sz="4" w:space="0" w:color="auto"/>
              <w:right w:val="single" w:sz="8" w:space="0" w:color="auto"/>
            </w:tcBorders>
            <w:noWrap/>
            <w:vAlign w:val="bottom"/>
          </w:tcPr>
          <w:p w:rsidR="001F39F9" w:rsidRPr="001F39F9" w:rsidRDefault="001F39F9" w:rsidP="008F7A02">
            <w:pPr>
              <w:spacing w:line="256" w:lineRule="auto"/>
              <w:jc w:val="right"/>
              <w:rPr>
                <w:sz w:val="22"/>
                <w:szCs w:val="22"/>
                <w:lang w:eastAsia="en-US"/>
              </w:rPr>
            </w:pPr>
            <w:r w:rsidRPr="001F39F9">
              <w:rPr>
                <w:sz w:val="22"/>
                <w:szCs w:val="22"/>
                <w:lang w:eastAsia="en-US"/>
              </w:rPr>
              <w:t>375 316.39</w:t>
            </w:r>
          </w:p>
        </w:tc>
      </w:tr>
      <w:tr w:rsidR="001F39F9" w:rsidRPr="001F39F9" w:rsidTr="008F7A02">
        <w:trPr>
          <w:trHeight w:val="300"/>
        </w:trPr>
        <w:tc>
          <w:tcPr>
            <w:tcW w:w="2382" w:type="dxa"/>
            <w:tcBorders>
              <w:top w:val="nil"/>
              <w:left w:val="single" w:sz="8" w:space="0" w:color="auto"/>
              <w:bottom w:val="nil"/>
              <w:right w:val="nil"/>
            </w:tcBorders>
            <w:noWrap/>
            <w:vAlign w:val="bottom"/>
            <w:hideMark/>
          </w:tcPr>
          <w:p w:rsidR="001F39F9" w:rsidRPr="001F39F9" w:rsidRDefault="001F39F9" w:rsidP="008F7A02">
            <w:pPr>
              <w:spacing w:line="256" w:lineRule="auto"/>
              <w:rPr>
                <w:sz w:val="22"/>
                <w:szCs w:val="22"/>
                <w:lang w:eastAsia="en-US"/>
              </w:rPr>
            </w:pPr>
            <w:r w:rsidRPr="001F39F9">
              <w:rPr>
                <w:sz w:val="22"/>
                <w:szCs w:val="22"/>
                <w:lang w:eastAsia="en-US"/>
              </w:rPr>
              <w:t>Opérations de l'exercice</w:t>
            </w:r>
          </w:p>
        </w:tc>
        <w:tc>
          <w:tcPr>
            <w:tcW w:w="1180" w:type="dxa"/>
            <w:tcBorders>
              <w:top w:val="nil"/>
              <w:left w:val="single" w:sz="4" w:space="0" w:color="auto"/>
              <w:bottom w:val="nil"/>
              <w:right w:val="nil"/>
            </w:tcBorders>
            <w:noWrap/>
            <w:vAlign w:val="bottom"/>
          </w:tcPr>
          <w:p w:rsidR="001F39F9" w:rsidRPr="001F39F9" w:rsidRDefault="001F39F9" w:rsidP="008F7A02">
            <w:pPr>
              <w:spacing w:line="256" w:lineRule="auto"/>
              <w:jc w:val="right"/>
              <w:rPr>
                <w:sz w:val="22"/>
                <w:szCs w:val="22"/>
                <w:lang w:eastAsia="en-US"/>
              </w:rPr>
            </w:pPr>
            <w:r w:rsidRPr="001F39F9">
              <w:rPr>
                <w:sz w:val="22"/>
                <w:szCs w:val="22"/>
                <w:lang w:eastAsia="en-US"/>
              </w:rPr>
              <w:t>773 960.80</w:t>
            </w:r>
          </w:p>
        </w:tc>
        <w:tc>
          <w:tcPr>
            <w:tcW w:w="1303" w:type="dxa"/>
            <w:tcBorders>
              <w:top w:val="nil"/>
              <w:left w:val="single" w:sz="4" w:space="0" w:color="auto"/>
              <w:bottom w:val="nil"/>
              <w:right w:val="single" w:sz="4" w:space="0" w:color="auto"/>
            </w:tcBorders>
            <w:noWrap/>
            <w:vAlign w:val="bottom"/>
          </w:tcPr>
          <w:p w:rsidR="001F39F9" w:rsidRPr="001F39F9" w:rsidRDefault="001F39F9" w:rsidP="008F7A02">
            <w:pPr>
              <w:spacing w:line="256" w:lineRule="auto"/>
              <w:jc w:val="right"/>
              <w:rPr>
                <w:sz w:val="22"/>
                <w:szCs w:val="22"/>
                <w:lang w:eastAsia="en-US"/>
              </w:rPr>
            </w:pPr>
            <w:r w:rsidRPr="001F39F9">
              <w:rPr>
                <w:sz w:val="22"/>
                <w:szCs w:val="22"/>
                <w:lang w:eastAsia="en-US"/>
              </w:rPr>
              <w:t>861 329.07</w:t>
            </w:r>
          </w:p>
        </w:tc>
        <w:tc>
          <w:tcPr>
            <w:tcW w:w="1303" w:type="dxa"/>
            <w:noWrap/>
            <w:vAlign w:val="bottom"/>
          </w:tcPr>
          <w:p w:rsidR="001F39F9" w:rsidRPr="001F39F9" w:rsidRDefault="001F39F9" w:rsidP="008F7A02">
            <w:pPr>
              <w:spacing w:line="256" w:lineRule="auto"/>
              <w:jc w:val="right"/>
              <w:rPr>
                <w:sz w:val="22"/>
                <w:szCs w:val="22"/>
                <w:lang w:eastAsia="en-US"/>
              </w:rPr>
            </w:pPr>
            <w:r w:rsidRPr="001F39F9">
              <w:rPr>
                <w:sz w:val="22"/>
                <w:szCs w:val="22"/>
                <w:lang w:eastAsia="en-US"/>
              </w:rPr>
              <w:t>316 653.27</w:t>
            </w:r>
          </w:p>
        </w:tc>
        <w:tc>
          <w:tcPr>
            <w:tcW w:w="1303" w:type="dxa"/>
            <w:tcBorders>
              <w:top w:val="nil"/>
              <w:left w:val="single" w:sz="4" w:space="0" w:color="auto"/>
              <w:bottom w:val="nil"/>
              <w:right w:val="single" w:sz="4" w:space="0" w:color="auto"/>
            </w:tcBorders>
            <w:noWrap/>
            <w:vAlign w:val="bottom"/>
          </w:tcPr>
          <w:p w:rsidR="001F39F9" w:rsidRPr="001F39F9" w:rsidRDefault="001F39F9" w:rsidP="008F7A02">
            <w:pPr>
              <w:spacing w:line="256" w:lineRule="auto"/>
              <w:jc w:val="right"/>
              <w:rPr>
                <w:sz w:val="22"/>
                <w:szCs w:val="22"/>
                <w:lang w:eastAsia="en-US"/>
              </w:rPr>
            </w:pPr>
            <w:r w:rsidRPr="001F39F9">
              <w:rPr>
                <w:sz w:val="22"/>
                <w:szCs w:val="22"/>
                <w:lang w:eastAsia="en-US"/>
              </w:rPr>
              <w:t>222 470.22</w:t>
            </w:r>
          </w:p>
        </w:tc>
        <w:tc>
          <w:tcPr>
            <w:tcW w:w="1303" w:type="dxa"/>
            <w:noWrap/>
            <w:vAlign w:val="bottom"/>
          </w:tcPr>
          <w:p w:rsidR="001F39F9" w:rsidRPr="001F39F9" w:rsidRDefault="001F39F9" w:rsidP="008F7A02">
            <w:pPr>
              <w:spacing w:line="256" w:lineRule="auto"/>
              <w:jc w:val="right"/>
              <w:rPr>
                <w:sz w:val="22"/>
                <w:szCs w:val="22"/>
                <w:lang w:eastAsia="en-US"/>
              </w:rPr>
            </w:pPr>
            <w:r w:rsidRPr="001F39F9">
              <w:rPr>
                <w:sz w:val="22"/>
                <w:szCs w:val="22"/>
                <w:lang w:eastAsia="en-US"/>
              </w:rPr>
              <w:t>1090614.07</w:t>
            </w:r>
          </w:p>
        </w:tc>
        <w:tc>
          <w:tcPr>
            <w:tcW w:w="1479" w:type="dxa"/>
            <w:tcBorders>
              <w:top w:val="nil"/>
              <w:left w:val="single" w:sz="4" w:space="0" w:color="auto"/>
              <w:bottom w:val="nil"/>
              <w:right w:val="single" w:sz="8" w:space="0" w:color="auto"/>
            </w:tcBorders>
            <w:noWrap/>
            <w:vAlign w:val="bottom"/>
          </w:tcPr>
          <w:p w:rsidR="001F39F9" w:rsidRPr="001F39F9" w:rsidRDefault="001F39F9" w:rsidP="008F7A02">
            <w:pPr>
              <w:spacing w:line="256" w:lineRule="auto"/>
              <w:jc w:val="right"/>
              <w:rPr>
                <w:sz w:val="22"/>
                <w:szCs w:val="22"/>
                <w:lang w:eastAsia="en-US"/>
              </w:rPr>
            </w:pPr>
            <w:r w:rsidRPr="001F39F9">
              <w:rPr>
                <w:sz w:val="22"/>
                <w:szCs w:val="22"/>
                <w:lang w:eastAsia="en-US"/>
              </w:rPr>
              <w:t>1 083 799.29</w:t>
            </w:r>
          </w:p>
        </w:tc>
      </w:tr>
      <w:tr w:rsidR="001F39F9" w:rsidRPr="001F39F9" w:rsidTr="008F7A02">
        <w:trPr>
          <w:trHeight w:val="300"/>
        </w:trPr>
        <w:tc>
          <w:tcPr>
            <w:tcW w:w="2382" w:type="dxa"/>
            <w:tcBorders>
              <w:top w:val="single" w:sz="4" w:space="0" w:color="auto"/>
              <w:left w:val="single" w:sz="8" w:space="0" w:color="auto"/>
              <w:bottom w:val="single" w:sz="4" w:space="0" w:color="auto"/>
              <w:right w:val="nil"/>
            </w:tcBorders>
            <w:noWrap/>
            <w:vAlign w:val="bottom"/>
            <w:hideMark/>
          </w:tcPr>
          <w:p w:rsidR="001F39F9" w:rsidRPr="001F39F9" w:rsidRDefault="001F39F9" w:rsidP="008F7A02">
            <w:pPr>
              <w:spacing w:line="256" w:lineRule="auto"/>
              <w:rPr>
                <w:iCs/>
                <w:sz w:val="22"/>
                <w:szCs w:val="22"/>
                <w:lang w:eastAsia="en-US"/>
              </w:rPr>
            </w:pPr>
            <w:r w:rsidRPr="001F39F9">
              <w:rPr>
                <w:iCs/>
                <w:sz w:val="22"/>
                <w:szCs w:val="22"/>
                <w:lang w:eastAsia="en-US"/>
              </w:rPr>
              <w:t>TOTAL</w:t>
            </w:r>
          </w:p>
        </w:tc>
        <w:tc>
          <w:tcPr>
            <w:tcW w:w="1180" w:type="dxa"/>
            <w:tcBorders>
              <w:top w:val="single" w:sz="4" w:space="0" w:color="auto"/>
              <w:left w:val="single" w:sz="4" w:space="0" w:color="auto"/>
              <w:bottom w:val="single" w:sz="4" w:space="0" w:color="auto"/>
              <w:right w:val="nil"/>
            </w:tcBorders>
            <w:noWrap/>
            <w:vAlign w:val="bottom"/>
          </w:tcPr>
          <w:p w:rsidR="001F39F9" w:rsidRPr="001F39F9" w:rsidRDefault="001F39F9" w:rsidP="008F7A02">
            <w:pPr>
              <w:spacing w:line="256" w:lineRule="auto"/>
              <w:jc w:val="right"/>
              <w:rPr>
                <w:iCs/>
                <w:sz w:val="22"/>
                <w:szCs w:val="22"/>
                <w:lang w:eastAsia="en-US"/>
              </w:rPr>
            </w:pPr>
            <w:r w:rsidRPr="001F39F9">
              <w:rPr>
                <w:iCs/>
                <w:sz w:val="22"/>
                <w:szCs w:val="22"/>
                <w:lang w:eastAsia="en-US"/>
              </w:rPr>
              <w:t>773 960.80</w:t>
            </w:r>
          </w:p>
        </w:tc>
        <w:tc>
          <w:tcPr>
            <w:tcW w:w="1303" w:type="dxa"/>
            <w:tcBorders>
              <w:top w:val="single" w:sz="4" w:space="0" w:color="auto"/>
              <w:left w:val="single" w:sz="4" w:space="0" w:color="auto"/>
              <w:bottom w:val="single" w:sz="4" w:space="0" w:color="auto"/>
              <w:right w:val="single" w:sz="4" w:space="0" w:color="auto"/>
            </w:tcBorders>
            <w:noWrap/>
            <w:vAlign w:val="bottom"/>
          </w:tcPr>
          <w:p w:rsidR="001F39F9" w:rsidRPr="001F39F9" w:rsidRDefault="001F39F9" w:rsidP="008F7A02">
            <w:pPr>
              <w:spacing w:line="256" w:lineRule="auto"/>
              <w:jc w:val="right"/>
              <w:rPr>
                <w:iCs/>
                <w:sz w:val="22"/>
                <w:szCs w:val="22"/>
                <w:lang w:eastAsia="en-US"/>
              </w:rPr>
            </w:pPr>
            <w:r w:rsidRPr="001F39F9">
              <w:rPr>
                <w:iCs/>
                <w:sz w:val="22"/>
                <w:szCs w:val="22"/>
                <w:lang w:eastAsia="en-US"/>
              </w:rPr>
              <w:t>1152 236.02</w:t>
            </w:r>
          </w:p>
        </w:tc>
        <w:tc>
          <w:tcPr>
            <w:tcW w:w="1303" w:type="dxa"/>
            <w:tcBorders>
              <w:top w:val="single" w:sz="4" w:space="0" w:color="auto"/>
              <w:left w:val="nil"/>
              <w:bottom w:val="single" w:sz="4" w:space="0" w:color="auto"/>
              <w:right w:val="nil"/>
            </w:tcBorders>
            <w:noWrap/>
            <w:vAlign w:val="bottom"/>
          </w:tcPr>
          <w:p w:rsidR="001F39F9" w:rsidRPr="001F39F9" w:rsidRDefault="001F39F9" w:rsidP="008F7A02">
            <w:pPr>
              <w:spacing w:line="256" w:lineRule="auto"/>
              <w:jc w:val="right"/>
              <w:rPr>
                <w:iCs/>
                <w:sz w:val="22"/>
                <w:szCs w:val="22"/>
                <w:lang w:eastAsia="en-US"/>
              </w:rPr>
            </w:pPr>
            <w:r w:rsidRPr="001F39F9">
              <w:rPr>
                <w:iCs/>
                <w:sz w:val="22"/>
                <w:szCs w:val="22"/>
                <w:lang w:eastAsia="en-US"/>
              </w:rPr>
              <w:t>316 653.27</w:t>
            </w:r>
          </w:p>
        </w:tc>
        <w:tc>
          <w:tcPr>
            <w:tcW w:w="1303" w:type="dxa"/>
            <w:tcBorders>
              <w:top w:val="single" w:sz="4" w:space="0" w:color="auto"/>
              <w:left w:val="single" w:sz="4" w:space="0" w:color="auto"/>
              <w:bottom w:val="single" w:sz="4" w:space="0" w:color="auto"/>
              <w:right w:val="single" w:sz="4" w:space="0" w:color="auto"/>
            </w:tcBorders>
            <w:noWrap/>
            <w:vAlign w:val="bottom"/>
          </w:tcPr>
          <w:p w:rsidR="001F39F9" w:rsidRPr="001F39F9" w:rsidRDefault="001F39F9" w:rsidP="008F7A02">
            <w:pPr>
              <w:spacing w:line="256" w:lineRule="auto"/>
              <w:jc w:val="right"/>
              <w:rPr>
                <w:iCs/>
                <w:sz w:val="22"/>
                <w:szCs w:val="22"/>
                <w:lang w:eastAsia="en-US"/>
              </w:rPr>
            </w:pPr>
            <w:r w:rsidRPr="001F39F9">
              <w:rPr>
                <w:iCs/>
                <w:sz w:val="22"/>
                <w:szCs w:val="22"/>
                <w:lang w:eastAsia="en-US"/>
              </w:rPr>
              <w:t>306879.66</w:t>
            </w:r>
          </w:p>
        </w:tc>
        <w:tc>
          <w:tcPr>
            <w:tcW w:w="1303" w:type="dxa"/>
            <w:tcBorders>
              <w:top w:val="single" w:sz="4" w:space="0" w:color="auto"/>
              <w:left w:val="nil"/>
              <w:bottom w:val="single" w:sz="4" w:space="0" w:color="auto"/>
              <w:right w:val="nil"/>
            </w:tcBorders>
            <w:noWrap/>
            <w:vAlign w:val="bottom"/>
          </w:tcPr>
          <w:p w:rsidR="001F39F9" w:rsidRPr="001F39F9" w:rsidRDefault="001F39F9" w:rsidP="008F7A02">
            <w:pPr>
              <w:spacing w:line="256" w:lineRule="auto"/>
              <w:jc w:val="right"/>
              <w:rPr>
                <w:iCs/>
                <w:sz w:val="22"/>
                <w:szCs w:val="22"/>
                <w:lang w:eastAsia="en-US"/>
              </w:rPr>
            </w:pPr>
            <w:r w:rsidRPr="001F39F9">
              <w:rPr>
                <w:sz w:val="22"/>
                <w:szCs w:val="22"/>
                <w:lang w:eastAsia="en-US"/>
              </w:rPr>
              <w:t>1090614.07</w:t>
            </w:r>
          </w:p>
        </w:tc>
        <w:tc>
          <w:tcPr>
            <w:tcW w:w="1479" w:type="dxa"/>
            <w:tcBorders>
              <w:top w:val="single" w:sz="4" w:space="0" w:color="auto"/>
              <w:left w:val="single" w:sz="4" w:space="0" w:color="auto"/>
              <w:bottom w:val="single" w:sz="4" w:space="0" w:color="auto"/>
              <w:right w:val="single" w:sz="8" w:space="0" w:color="auto"/>
            </w:tcBorders>
            <w:noWrap/>
            <w:vAlign w:val="bottom"/>
          </w:tcPr>
          <w:p w:rsidR="001F39F9" w:rsidRPr="001F39F9" w:rsidRDefault="001F39F9" w:rsidP="008F7A02">
            <w:pPr>
              <w:spacing w:line="256" w:lineRule="auto"/>
              <w:jc w:val="right"/>
              <w:rPr>
                <w:iCs/>
                <w:sz w:val="22"/>
                <w:szCs w:val="22"/>
                <w:lang w:eastAsia="en-US"/>
              </w:rPr>
            </w:pPr>
            <w:r w:rsidRPr="001F39F9">
              <w:rPr>
                <w:iCs/>
                <w:sz w:val="22"/>
                <w:szCs w:val="22"/>
                <w:lang w:eastAsia="en-US"/>
              </w:rPr>
              <w:t>1459115.68</w:t>
            </w:r>
          </w:p>
        </w:tc>
      </w:tr>
      <w:tr w:rsidR="001F39F9" w:rsidRPr="001F39F9" w:rsidTr="008F7A02">
        <w:trPr>
          <w:trHeight w:val="300"/>
        </w:trPr>
        <w:tc>
          <w:tcPr>
            <w:tcW w:w="2382" w:type="dxa"/>
            <w:tcBorders>
              <w:top w:val="nil"/>
              <w:left w:val="single" w:sz="8" w:space="0" w:color="auto"/>
              <w:bottom w:val="nil"/>
              <w:right w:val="nil"/>
            </w:tcBorders>
            <w:noWrap/>
            <w:vAlign w:val="bottom"/>
            <w:hideMark/>
          </w:tcPr>
          <w:p w:rsidR="001F39F9" w:rsidRPr="001F39F9" w:rsidRDefault="001F39F9" w:rsidP="008F7A02">
            <w:pPr>
              <w:spacing w:line="256" w:lineRule="auto"/>
              <w:rPr>
                <w:sz w:val="22"/>
                <w:szCs w:val="22"/>
                <w:lang w:eastAsia="en-US"/>
              </w:rPr>
            </w:pPr>
            <w:r w:rsidRPr="001F39F9">
              <w:rPr>
                <w:sz w:val="22"/>
                <w:szCs w:val="22"/>
                <w:lang w:eastAsia="en-US"/>
              </w:rPr>
              <w:t>Résultats de clôture</w:t>
            </w:r>
          </w:p>
        </w:tc>
        <w:tc>
          <w:tcPr>
            <w:tcW w:w="1180" w:type="dxa"/>
            <w:tcBorders>
              <w:top w:val="nil"/>
              <w:left w:val="single" w:sz="4" w:space="0" w:color="auto"/>
              <w:bottom w:val="nil"/>
              <w:right w:val="nil"/>
            </w:tcBorders>
            <w:noWrap/>
            <w:vAlign w:val="bottom"/>
          </w:tcPr>
          <w:p w:rsidR="001F39F9" w:rsidRPr="001F39F9" w:rsidRDefault="001F39F9" w:rsidP="008F7A02">
            <w:pPr>
              <w:spacing w:line="256" w:lineRule="auto"/>
              <w:rPr>
                <w:sz w:val="22"/>
                <w:szCs w:val="22"/>
                <w:lang w:eastAsia="en-US"/>
              </w:rPr>
            </w:pPr>
          </w:p>
        </w:tc>
        <w:tc>
          <w:tcPr>
            <w:tcW w:w="1303" w:type="dxa"/>
            <w:tcBorders>
              <w:top w:val="nil"/>
              <w:left w:val="single" w:sz="4" w:space="0" w:color="auto"/>
              <w:bottom w:val="nil"/>
              <w:right w:val="single" w:sz="4" w:space="0" w:color="auto"/>
            </w:tcBorders>
            <w:noWrap/>
            <w:vAlign w:val="bottom"/>
          </w:tcPr>
          <w:p w:rsidR="001F39F9" w:rsidRPr="001F39F9" w:rsidRDefault="001F39F9" w:rsidP="008F7A02">
            <w:pPr>
              <w:spacing w:line="256" w:lineRule="auto"/>
              <w:jc w:val="right"/>
              <w:rPr>
                <w:sz w:val="22"/>
                <w:szCs w:val="22"/>
                <w:lang w:eastAsia="en-US"/>
              </w:rPr>
            </w:pPr>
            <w:r w:rsidRPr="001F39F9">
              <w:rPr>
                <w:sz w:val="22"/>
                <w:szCs w:val="22"/>
                <w:lang w:eastAsia="en-US"/>
              </w:rPr>
              <w:t>378 275.22</w:t>
            </w:r>
          </w:p>
        </w:tc>
        <w:tc>
          <w:tcPr>
            <w:tcW w:w="1303" w:type="dxa"/>
            <w:noWrap/>
            <w:vAlign w:val="bottom"/>
          </w:tcPr>
          <w:p w:rsidR="001F39F9" w:rsidRPr="001F39F9" w:rsidRDefault="001F39F9" w:rsidP="008F7A02">
            <w:pPr>
              <w:spacing w:line="256" w:lineRule="auto"/>
              <w:jc w:val="right"/>
              <w:rPr>
                <w:sz w:val="22"/>
                <w:szCs w:val="22"/>
                <w:lang w:eastAsia="en-US"/>
              </w:rPr>
            </w:pPr>
            <w:r w:rsidRPr="001F39F9">
              <w:rPr>
                <w:sz w:val="22"/>
                <w:szCs w:val="22"/>
                <w:lang w:eastAsia="en-US"/>
              </w:rPr>
              <w:t>9773.61</w:t>
            </w:r>
          </w:p>
        </w:tc>
        <w:tc>
          <w:tcPr>
            <w:tcW w:w="1303" w:type="dxa"/>
            <w:tcBorders>
              <w:top w:val="nil"/>
              <w:left w:val="single" w:sz="4" w:space="0" w:color="auto"/>
              <w:bottom w:val="nil"/>
              <w:right w:val="single" w:sz="4" w:space="0" w:color="auto"/>
            </w:tcBorders>
            <w:noWrap/>
            <w:vAlign w:val="bottom"/>
          </w:tcPr>
          <w:p w:rsidR="001F39F9" w:rsidRPr="001F39F9" w:rsidRDefault="001F39F9" w:rsidP="008F7A02">
            <w:pPr>
              <w:spacing w:line="256" w:lineRule="auto"/>
              <w:jc w:val="right"/>
              <w:rPr>
                <w:sz w:val="22"/>
                <w:szCs w:val="22"/>
                <w:lang w:eastAsia="en-US"/>
              </w:rPr>
            </w:pPr>
          </w:p>
        </w:tc>
        <w:tc>
          <w:tcPr>
            <w:tcW w:w="1303" w:type="dxa"/>
            <w:noWrap/>
            <w:vAlign w:val="bottom"/>
          </w:tcPr>
          <w:p w:rsidR="001F39F9" w:rsidRPr="001F39F9" w:rsidRDefault="001F39F9" w:rsidP="008F7A02">
            <w:pPr>
              <w:spacing w:line="256" w:lineRule="auto"/>
              <w:jc w:val="right"/>
              <w:rPr>
                <w:sz w:val="22"/>
                <w:szCs w:val="22"/>
                <w:lang w:eastAsia="en-US"/>
              </w:rPr>
            </w:pPr>
          </w:p>
        </w:tc>
        <w:tc>
          <w:tcPr>
            <w:tcW w:w="1479" w:type="dxa"/>
            <w:tcBorders>
              <w:top w:val="nil"/>
              <w:left w:val="single" w:sz="4" w:space="0" w:color="auto"/>
              <w:bottom w:val="nil"/>
              <w:right w:val="single" w:sz="8" w:space="0" w:color="auto"/>
            </w:tcBorders>
            <w:noWrap/>
            <w:vAlign w:val="bottom"/>
          </w:tcPr>
          <w:p w:rsidR="001F39F9" w:rsidRPr="001F39F9" w:rsidRDefault="001F39F9" w:rsidP="008F7A02">
            <w:pPr>
              <w:spacing w:line="256" w:lineRule="auto"/>
              <w:jc w:val="right"/>
              <w:rPr>
                <w:sz w:val="22"/>
                <w:szCs w:val="22"/>
                <w:lang w:eastAsia="en-US"/>
              </w:rPr>
            </w:pPr>
            <w:r w:rsidRPr="001F39F9">
              <w:rPr>
                <w:sz w:val="22"/>
                <w:szCs w:val="22"/>
                <w:lang w:eastAsia="en-US"/>
              </w:rPr>
              <w:t>368 501.61</w:t>
            </w:r>
          </w:p>
        </w:tc>
      </w:tr>
      <w:tr w:rsidR="001F39F9" w:rsidRPr="001F39F9" w:rsidTr="008F7A02">
        <w:trPr>
          <w:trHeight w:val="300"/>
        </w:trPr>
        <w:tc>
          <w:tcPr>
            <w:tcW w:w="2382" w:type="dxa"/>
            <w:tcBorders>
              <w:top w:val="single" w:sz="4" w:space="0" w:color="auto"/>
              <w:left w:val="single" w:sz="8" w:space="0" w:color="auto"/>
              <w:bottom w:val="single" w:sz="4" w:space="0" w:color="auto"/>
              <w:right w:val="nil"/>
            </w:tcBorders>
            <w:noWrap/>
            <w:vAlign w:val="bottom"/>
            <w:hideMark/>
          </w:tcPr>
          <w:p w:rsidR="001F39F9" w:rsidRPr="001F39F9" w:rsidRDefault="001F39F9" w:rsidP="008F7A02">
            <w:pPr>
              <w:spacing w:line="256" w:lineRule="auto"/>
              <w:rPr>
                <w:sz w:val="22"/>
                <w:szCs w:val="22"/>
                <w:lang w:eastAsia="en-US"/>
              </w:rPr>
            </w:pPr>
            <w:r w:rsidRPr="001F39F9">
              <w:rPr>
                <w:sz w:val="22"/>
                <w:szCs w:val="22"/>
                <w:lang w:eastAsia="en-US"/>
              </w:rPr>
              <w:t>Restes à réaliser</w:t>
            </w:r>
          </w:p>
        </w:tc>
        <w:tc>
          <w:tcPr>
            <w:tcW w:w="1180" w:type="dxa"/>
            <w:tcBorders>
              <w:top w:val="single" w:sz="4" w:space="0" w:color="auto"/>
              <w:left w:val="single" w:sz="4" w:space="0" w:color="auto"/>
              <w:bottom w:val="single" w:sz="4" w:space="0" w:color="auto"/>
              <w:right w:val="nil"/>
            </w:tcBorders>
            <w:noWrap/>
            <w:vAlign w:val="bottom"/>
          </w:tcPr>
          <w:p w:rsidR="001F39F9" w:rsidRPr="001F39F9" w:rsidRDefault="001F39F9" w:rsidP="008F7A02">
            <w:pPr>
              <w:spacing w:line="256" w:lineRule="auto"/>
              <w:rPr>
                <w:sz w:val="22"/>
                <w:szCs w:val="22"/>
                <w:lang w:eastAsia="en-US"/>
              </w:rPr>
            </w:pPr>
          </w:p>
        </w:tc>
        <w:tc>
          <w:tcPr>
            <w:tcW w:w="1303" w:type="dxa"/>
            <w:tcBorders>
              <w:top w:val="single" w:sz="4" w:space="0" w:color="auto"/>
              <w:left w:val="single" w:sz="4" w:space="0" w:color="auto"/>
              <w:bottom w:val="single" w:sz="4" w:space="0" w:color="auto"/>
              <w:right w:val="single" w:sz="4" w:space="0" w:color="auto"/>
            </w:tcBorders>
            <w:noWrap/>
            <w:vAlign w:val="bottom"/>
          </w:tcPr>
          <w:p w:rsidR="001F39F9" w:rsidRPr="001F39F9" w:rsidRDefault="001F39F9" w:rsidP="008F7A02">
            <w:pPr>
              <w:spacing w:line="256" w:lineRule="auto"/>
              <w:rPr>
                <w:sz w:val="22"/>
                <w:szCs w:val="22"/>
                <w:lang w:eastAsia="en-US"/>
              </w:rPr>
            </w:pPr>
          </w:p>
        </w:tc>
        <w:tc>
          <w:tcPr>
            <w:tcW w:w="1303" w:type="dxa"/>
            <w:tcBorders>
              <w:top w:val="single" w:sz="4" w:space="0" w:color="auto"/>
              <w:left w:val="nil"/>
              <w:bottom w:val="single" w:sz="4" w:space="0" w:color="auto"/>
              <w:right w:val="nil"/>
            </w:tcBorders>
            <w:noWrap/>
            <w:vAlign w:val="bottom"/>
          </w:tcPr>
          <w:p w:rsidR="001F39F9" w:rsidRPr="001F39F9" w:rsidRDefault="001F39F9" w:rsidP="008F7A02">
            <w:pPr>
              <w:spacing w:line="256" w:lineRule="auto"/>
              <w:jc w:val="right"/>
              <w:rPr>
                <w:sz w:val="22"/>
                <w:szCs w:val="22"/>
                <w:lang w:eastAsia="en-US"/>
              </w:rPr>
            </w:pPr>
            <w:r w:rsidRPr="001F39F9">
              <w:rPr>
                <w:sz w:val="22"/>
                <w:szCs w:val="22"/>
                <w:lang w:eastAsia="en-US"/>
              </w:rPr>
              <w:t>464357.16</w:t>
            </w:r>
          </w:p>
        </w:tc>
        <w:tc>
          <w:tcPr>
            <w:tcW w:w="1303" w:type="dxa"/>
            <w:tcBorders>
              <w:top w:val="single" w:sz="4" w:space="0" w:color="auto"/>
              <w:left w:val="single" w:sz="4" w:space="0" w:color="auto"/>
              <w:bottom w:val="single" w:sz="4" w:space="0" w:color="auto"/>
              <w:right w:val="single" w:sz="4" w:space="0" w:color="auto"/>
            </w:tcBorders>
            <w:noWrap/>
            <w:vAlign w:val="bottom"/>
          </w:tcPr>
          <w:p w:rsidR="001F39F9" w:rsidRPr="001F39F9" w:rsidRDefault="001F39F9" w:rsidP="008F7A02">
            <w:pPr>
              <w:spacing w:line="256" w:lineRule="auto"/>
              <w:jc w:val="right"/>
              <w:rPr>
                <w:sz w:val="22"/>
                <w:szCs w:val="22"/>
                <w:lang w:eastAsia="en-US"/>
              </w:rPr>
            </w:pPr>
            <w:r w:rsidRPr="001F39F9">
              <w:rPr>
                <w:sz w:val="22"/>
                <w:szCs w:val="22"/>
                <w:lang w:eastAsia="en-US"/>
              </w:rPr>
              <w:t>231880.00</w:t>
            </w:r>
          </w:p>
        </w:tc>
        <w:tc>
          <w:tcPr>
            <w:tcW w:w="1303" w:type="dxa"/>
            <w:tcBorders>
              <w:top w:val="single" w:sz="4" w:space="0" w:color="auto"/>
              <w:left w:val="nil"/>
              <w:bottom w:val="single" w:sz="4" w:space="0" w:color="auto"/>
              <w:right w:val="nil"/>
            </w:tcBorders>
            <w:noWrap/>
            <w:vAlign w:val="bottom"/>
          </w:tcPr>
          <w:p w:rsidR="001F39F9" w:rsidRPr="001F39F9" w:rsidRDefault="001F39F9" w:rsidP="008F7A02">
            <w:pPr>
              <w:spacing w:line="256" w:lineRule="auto"/>
              <w:jc w:val="right"/>
              <w:rPr>
                <w:sz w:val="22"/>
                <w:szCs w:val="22"/>
                <w:lang w:eastAsia="en-US"/>
              </w:rPr>
            </w:pPr>
            <w:r w:rsidRPr="001F39F9">
              <w:rPr>
                <w:sz w:val="22"/>
                <w:szCs w:val="22"/>
                <w:lang w:eastAsia="en-US"/>
              </w:rPr>
              <w:t>464357.16</w:t>
            </w:r>
          </w:p>
        </w:tc>
        <w:tc>
          <w:tcPr>
            <w:tcW w:w="1479" w:type="dxa"/>
            <w:tcBorders>
              <w:top w:val="single" w:sz="4" w:space="0" w:color="auto"/>
              <w:left w:val="single" w:sz="4" w:space="0" w:color="auto"/>
              <w:bottom w:val="single" w:sz="4" w:space="0" w:color="auto"/>
              <w:right w:val="single" w:sz="8" w:space="0" w:color="auto"/>
            </w:tcBorders>
            <w:noWrap/>
            <w:vAlign w:val="bottom"/>
          </w:tcPr>
          <w:p w:rsidR="001F39F9" w:rsidRPr="001F39F9" w:rsidRDefault="001F39F9" w:rsidP="008F7A02">
            <w:pPr>
              <w:spacing w:line="256" w:lineRule="auto"/>
              <w:jc w:val="right"/>
              <w:rPr>
                <w:sz w:val="22"/>
                <w:szCs w:val="22"/>
                <w:lang w:eastAsia="en-US"/>
              </w:rPr>
            </w:pPr>
            <w:r w:rsidRPr="001F39F9">
              <w:rPr>
                <w:sz w:val="22"/>
                <w:szCs w:val="22"/>
                <w:lang w:eastAsia="en-US"/>
              </w:rPr>
              <w:t>231880.00</w:t>
            </w:r>
          </w:p>
        </w:tc>
      </w:tr>
      <w:tr w:rsidR="001F39F9" w:rsidRPr="001F39F9" w:rsidTr="008F7A02">
        <w:trPr>
          <w:trHeight w:val="300"/>
        </w:trPr>
        <w:tc>
          <w:tcPr>
            <w:tcW w:w="2382" w:type="dxa"/>
            <w:tcBorders>
              <w:top w:val="nil"/>
              <w:left w:val="single" w:sz="8" w:space="0" w:color="auto"/>
              <w:bottom w:val="single" w:sz="4" w:space="0" w:color="auto"/>
              <w:right w:val="nil"/>
            </w:tcBorders>
            <w:noWrap/>
            <w:vAlign w:val="bottom"/>
            <w:hideMark/>
          </w:tcPr>
          <w:p w:rsidR="001F39F9" w:rsidRPr="001F39F9" w:rsidRDefault="001F39F9" w:rsidP="008F7A02">
            <w:pPr>
              <w:spacing w:line="256" w:lineRule="auto"/>
              <w:rPr>
                <w:sz w:val="22"/>
                <w:szCs w:val="22"/>
                <w:lang w:eastAsia="en-US"/>
              </w:rPr>
            </w:pPr>
            <w:r w:rsidRPr="001F39F9">
              <w:rPr>
                <w:sz w:val="22"/>
                <w:szCs w:val="22"/>
                <w:lang w:eastAsia="en-US"/>
              </w:rPr>
              <w:t>TOTAL (excédent)</w:t>
            </w:r>
          </w:p>
        </w:tc>
        <w:tc>
          <w:tcPr>
            <w:tcW w:w="1180" w:type="dxa"/>
            <w:tcBorders>
              <w:top w:val="nil"/>
              <w:left w:val="single" w:sz="4" w:space="0" w:color="auto"/>
              <w:bottom w:val="single" w:sz="4" w:space="0" w:color="auto"/>
              <w:right w:val="nil"/>
            </w:tcBorders>
            <w:noWrap/>
            <w:vAlign w:val="bottom"/>
          </w:tcPr>
          <w:p w:rsidR="001F39F9" w:rsidRPr="001F39F9" w:rsidRDefault="001F39F9" w:rsidP="008F7A02">
            <w:pPr>
              <w:spacing w:line="256" w:lineRule="auto"/>
              <w:rPr>
                <w:sz w:val="22"/>
                <w:szCs w:val="22"/>
                <w:lang w:eastAsia="en-US"/>
              </w:rPr>
            </w:pPr>
          </w:p>
        </w:tc>
        <w:tc>
          <w:tcPr>
            <w:tcW w:w="1303" w:type="dxa"/>
            <w:tcBorders>
              <w:top w:val="nil"/>
              <w:left w:val="single" w:sz="4" w:space="0" w:color="auto"/>
              <w:bottom w:val="single" w:sz="4" w:space="0" w:color="auto"/>
              <w:right w:val="single" w:sz="4" w:space="0" w:color="auto"/>
            </w:tcBorders>
            <w:noWrap/>
            <w:vAlign w:val="bottom"/>
          </w:tcPr>
          <w:p w:rsidR="001F39F9" w:rsidRPr="001F39F9" w:rsidRDefault="001F39F9" w:rsidP="008F7A02">
            <w:pPr>
              <w:spacing w:line="256" w:lineRule="auto"/>
              <w:jc w:val="right"/>
              <w:rPr>
                <w:sz w:val="22"/>
                <w:szCs w:val="22"/>
                <w:lang w:eastAsia="en-US"/>
              </w:rPr>
            </w:pPr>
            <w:r w:rsidRPr="001F39F9">
              <w:rPr>
                <w:sz w:val="22"/>
                <w:szCs w:val="22"/>
                <w:lang w:eastAsia="en-US"/>
              </w:rPr>
              <w:t>378275.22</w:t>
            </w:r>
          </w:p>
        </w:tc>
        <w:tc>
          <w:tcPr>
            <w:tcW w:w="1303" w:type="dxa"/>
            <w:tcBorders>
              <w:top w:val="nil"/>
              <w:left w:val="nil"/>
              <w:bottom w:val="single" w:sz="4" w:space="0" w:color="auto"/>
              <w:right w:val="nil"/>
            </w:tcBorders>
            <w:noWrap/>
            <w:vAlign w:val="bottom"/>
          </w:tcPr>
          <w:p w:rsidR="001F39F9" w:rsidRPr="001F39F9" w:rsidRDefault="001F39F9" w:rsidP="008F7A02">
            <w:pPr>
              <w:spacing w:line="256" w:lineRule="auto"/>
              <w:jc w:val="right"/>
              <w:rPr>
                <w:sz w:val="22"/>
                <w:szCs w:val="22"/>
                <w:lang w:eastAsia="en-US"/>
              </w:rPr>
            </w:pPr>
            <w:r w:rsidRPr="001F39F9">
              <w:rPr>
                <w:sz w:val="22"/>
                <w:szCs w:val="22"/>
                <w:lang w:eastAsia="en-US"/>
              </w:rPr>
              <w:t>474 130.77</w:t>
            </w:r>
          </w:p>
        </w:tc>
        <w:tc>
          <w:tcPr>
            <w:tcW w:w="1303" w:type="dxa"/>
            <w:tcBorders>
              <w:top w:val="nil"/>
              <w:left w:val="single" w:sz="4" w:space="0" w:color="auto"/>
              <w:bottom w:val="single" w:sz="4" w:space="0" w:color="auto"/>
              <w:right w:val="single" w:sz="4" w:space="0" w:color="auto"/>
            </w:tcBorders>
            <w:noWrap/>
            <w:vAlign w:val="bottom"/>
          </w:tcPr>
          <w:p w:rsidR="001F39F9" w:rsidRPr="001F39F9" w:rsidRDefault="001F39F9" w:rsidP="008F7A02">
            <w:pPr>
              <w:spacing w:line="256" w:lineRule="auto"/>
              <w:jc w:val="right"/>
              <w:rPr>
                <w:sz w:val="22"/>
                <w:szCs w:val="22"/>
                <w:lang w:eastAsia="en-US"/>
              </w:rPr>
            </w:pPr>
            <w:r w:rsidRPr="001F39F9">
              <w:rPr>
                <w:sz w:val="22"/>
                <w:szCs w:val="22"/>
                <w:lang w:eastAsia="en-US"/>
              </w:rPr>
              <w:t>213880.00</w:t>
            </w:r>
          </w:p>
        </w:tc>
        <w:tc>
          <w:tcPr>
            <w:tcW w:w="1303" w:type="dxa"/>
            <w:tcBorders>
              <w:top w:val="nil"/>
              <w:left w:val="nil"/>
              <w:bottom w:val="single" w:sz="4" w:space="0" w:color="auto"/>
              <w:right w:val="nil"/>
            </w:tcBorders>
            <w:noWrap/>
            <w:vAlign w:val="bottom"/>
          </w:tcPr>
          <w:p w:rsidR="001F39F9" w:rsidRPr="001F39F9" w:rsidRDefault="001F39F9" w:rsidP="008F7A02">
            <w:pPr>
              <w:spacing w:line="256" w:lineRule="auto"/>
              <w:jc w:val="right"/>
              <w:rPr>
                <w:sz w:val="22"/>
                <w:szCs w:val="22"/>
                <w:lang w:eastAsia="en-US"/>
              </w:rPr>
            </w:pPr>
            <w:r w:rsidRPr="001F39F9">
              <w:rPr>
                <w:sz w:val="22"/>
                <w:szCs w:val="22"/>
                <w:lang w:eastAsia="en-US"/>
              </w:rPr>
              <w:t>464357.16</w:t>
            </w:r>
          </w:p>
        </w:tc>
        <w:tc>
          <w:tcPr>
            <w:tcW w:w="1479" w:type="dxa"/>
            <w:tcBorders>
              <w:top w:val="nil"/>
              <w:left w:val="single" w:sz="4" w:space="0" w:color="auto"/>
              <w:bottom w:val="single" w:sz="4" w:space="0" w:color="auto"/>
              <w:right w:val="single" w:sz="8" w:space="0" w:color="auto"/>
            </w:tcBorders>
            <w:noWrap/>
            <w:vAlign w:val="bottom"/>
          </w:tcPr>
          <w:p w:rsidR="001F39F9" w:rsidRPr="001F39F9" w:rsidRDefault="001F39F9" w:rsidP="008F7A02">
            <w:pPr>
              <w:spacing w:line="256" w:lineRule="auto"/>
              <w:jc w:val="right"/>
              <w:rPr>
                <w:sz w:val="22"/>
                <w:szCs w:val="22"/>
                <w:lang w:eastAsia="en-US"/>
              </w:rPr>
            </w:pPr>
            <w:r w:rsidRPr="001F39F9">
              <w:rPr>
                <w:sz w:val="22"/>
                <w:szCs w:val="22"/>
                <w:lang w:eastAsia="en-US"/>
              </w:rPr>
              <w:t>600381.61</w:t>
            </w:r>
          </w:p>
        </w:tc>
      </w:tr>
      <w:tr w:rsidR="001F39F9" w:rsidRPr="001F39F9" w:rsidTr="008F7A02">
        <w:trPr>
          <w:trHeight w:val="330"/>
        </w:trPr>
        <w:tc>
          <w:tcPr>
            <w:tcW w:w="2382" w:type="dxa"/>
            <w:tcBorders>
              <w:top w:val="nil"/>
              <w:left w:val="single" w:sz="8" w:space="0" w:color="auto"/>
              <w:bottom w:val="single" w:sz="8" w:space="0" w:color="auto"/>
              <w:right w:val="nil"/>
            </w:tcBorders>
            <w:noWrap/>
            <w:vAlign w:val="bottom"/>
            <w:hideMark/>
          </w:tcPr>
          <w:p w:rsidR="001F39F9" w:rsidRPr="001F39F9" w:rsidRDefault="001F39F9" w:rsidP="008F7A02">
            <w:pPr>
              <w:spacing w:line="256" w:lineRule="auto"/>
              <w:rPr>
                <w:b/>
                <w:bCs/>
                <w:sz w:val="22"/>
                <w:szCs w:val="22"/>
                <w:lang w:eastAsia="en-US"/>
              </w:rPr>
            </w:pPr>
            <w:r w:rsidRPr="001F39F9">
              <w:rPr>
                <w:b/>
                <w:bCs/>
                <w:sz w:val="22"/>
                <w:szCs w:val="22"/>
                <w:lang w:eastAsia="en-US"/>
              </w:rPr>
              <w:t>RÉSULTAT DÉFINITIF</w:t>
            </w:r>
          </w:p>
        </w:tc>
        <w:tc>
          <w:tcPr>
            <w:tcW w:w="1180" w:type="dxa"/>
            <w:tcBorders>
              <w:top w:val="nil"/>
              <w:left w:val="single" w:sz="4" w:space="0" w:color="auto"/>
              <w:bottom w:val="single" w:sz="8" w:space="0" w:color="auto"/>
              <w:right w:val="nil"/>
            </w:tcBorders>
            <w:noWrap/>
            <w:vAlign w:val="bottom"/>
          </w:tcPr>
          <w:p w:rsidR="001F39F9" w:rsidRPr="001F39F9" w:rsidRDefault="001F39F9" w:rsidP="008F7A02">
            <w:pPr>
              <w:spacing w:line="256" w:lineRule="auto"/>
              <w:rPr>
                <w:b/>
                <w:bCs/>
                <w:sz w:val="22"/>
                <w:szCs w:val="22"/>
                <w:lang w:eastAsia="en-US"/>
              </w:rPr>
            </w:pPr>
          </w:p>
        </w:tc>
        <w:tc>
          <w:tcPr>
            <w:tcW w:w="1303" w:type="dxa"/>
            <w:tcBorders>
              <w:top w:val="nil"/>
              <w:left w:val="single" w:sz="4" w:space="0" w:color="auto"/>
              <w:bottom w:val="single" w:sz="8" w:space="0" w:color="auto"/>
              <w:right w:val="single" w:sz="4" w:space="0" w:color="auto"/>
            </w:tcBorders>
            <w:noWrap/>
            <w:vAlign w:val="bottom"/>
          </w:tcPr>
          <w:p w:rsidR="001F39F9" w:rsidRPr="001F39F9" w:rsidRDefault="001F39F9" w:rsidP="008F7A02">
            <w:pPr>
              <w:spacing w:line="256" w:lineRule="auto"/>
              <w:jc w:val="right"/>
              <w:rPr>
                <w:b/>
                <w:bCs/>
                <w:sz w:val="22"/>
                <w:szCs w:val="22"/>
                <w:lang w:eastAsia="en-US"/>
              </w:rPr>
            </w:pPr>
            <w:r w:rsidRPr="001F39F9">
              <w:rPr>
                <w:b/>
                <w:bCs/>
                <w:sz w:val="22"/>
                <w:szCs w:val="22"/>
                <w:lang w:eastAsia="en-US"/>
              </w:rPr>
              <w:t>378275.22</w:t>
            </w:r>
          </w:p>
        </w:tc>
        <w:tc>
          <w:tcPr>
            <w:tcW w:w="1303" w:type="dxa"/>
            <w:tcBorders>
              <w:top w:val="nil"/>
              <w:left w:val="nil"/>
              <w:bottom w:val="single" w:sz="8" w:space="0" w:color="auto"/>
              <w:right w:val="nil"/>
            </w:tcBorders>
            <w:noWrap/>
            <w:vAlign w:val="bottom"/>
          </w:tcPr>
          <w:p w:rsidR="001F39F9" w:rsidRPr="001F39F9" w:rsidRDefault="001F39F9" w:rsidP="008F7A02">
            <w:pPr>
              <w:spacing w:line="256" w:lineRule="auto"/>
              <w:jc w:val="right"/>
              <w:rPr>
                <w:b/>
                <w:bCs/>
                <w:sz w:val="22"/>
                <w:szCs w:val="22"/>
                <w:lang w:eastAsia="en-US"/>
              </w:rPr>
            </w:pPr>
            <w:r w:rsidRPr="001F39F9">
              <w:rPr>
                <w:b/>
                <w:bCs/>
                <w:sz w:val="22"/>
                <w:szCs w:val="22"/>
                <w:lang w:eastAsia="en-US"/>
              </w:rPr>
              <w:t>242250.77</w:t>
            </w:r>
          </w:p>
        </w:tc>
        <w:tc>
          <w:tcPr>
            <w:tcW w:w="1303" w:type="dxa"/>
            <w:tcBorders>
              <w:top w:val="nil"/>
              <w:left w:val="single" w:sz="4" w:space="0" w:color="auto"/>
              <w:bottom w:val="single" w:sz="8" w:space="0" w:color="auto"/>
              <w:right w:val="single" w:sz="4" w:space="0" w:color="auto"/>
            </w:tcBorders>
            <w:noWrap/>
            <w:vAlign w:val="bottom"/>
          </w:tcPr>
          <w:p w:rsidR="001F39F9" w:rsidRPr="001F39F9" w:rsidRDefault="001F39F9" w:rsidP="008F7A02">
            <w:pPr>
              <w:spacing w:line="256" w:lineRule="auto"/>
              <w:jc w:val="right"/>
              <w:rPr>
                <w:b/>
                <w:bCs/>
                <w:sz w:val="22"/>
                <w:szCs w:val="22"/>
                <w:lang w:eastAsia="en-US"/>
              </w:rPr>
            </w:pPr>
          </w:p>
        </w:tc>
        <w:tc>
          <w:tcPr>
            <w:tcW w:w="1303" w:type="dxa"/>
            <w:tcBorders>
              <w:top w:val="nil"/>
              <w:left w:val="nil"/>
              <w:bottom w:val="single" w:sz="8" w:space="0" w:color="auto"/>
              <w:right w:val="nil"/>
            </w:tcBorders>
            <w:noWrap/>
            <w:vAlign w:val="bottom"/>
          </w:tcPr>
          <w:p w:rsidR="001F39F9" w:rsidRPr="001F39F9" w:rsidRDefault="001F39F9" w:rsidP="008F7A02">
            <w:pPr>
              <w:spacing w:line="256" w:lineRule="auto"/>
              <w:jc w:val="right"/>
              <w:rPr>
                <w:b/>
                <w:bCs/>
                <w:sz w:val="22"/>
                <w:szCs w:val="22"/>
                <w:lang w:eastAsia="en-US"/>
              </w:rPr>
            </w:pPr>
          </w:p>
        </w:tc>
        <w:tc>
          <w:tcPr>
            <w:tcW w:w="1479" w:type="dxa"/>
            <w:tcBorders>
              <w:top w:val="nil"/>
              <w:left w:val="single" w:sz="4" w:space="0" w:color="auto"/>
              <w:bottom w:val="single" w:sz="8" w:space="0" w:color="auto"/>
              <w:right w:val="single" w:sz="8" w:space="0" w:color="auto"/>
            </w:tcBorders>
            <w:noWrap/>
            <w:vAlign w:val="bottom"/>
          </w:tcPr>
          <w:p w:rsidR="001F39F9" w:rsidRPr="001F39F9" w:rsidRDefault="001F39F9" w:rsidP="008F7A02">
            <w:pPr>
              <w:spacing w:line="256" w:lineRule="auto"/>
              <w:jc w:val="right"/>
              <w:rPr>
                <w:b/>
                <w:bCs/>
                <w:sz w:val="22"/>
                <w:szCs w:val="22"/>
                <w:lang w:eastAsia="en-US"/>
              </w:rPr>
            </w:pPr>
            <w:r w:rsidRPr="001F39F9">
              <w:rPr>
                <w:b/>
                <w:bCs/>
                <w:sz w:val="22"/>
                <w:szCs w:val="22"/>
                <w:lang w:eastAsia="en-US"/>
              </w:rPr>
              <w:t>136024.45</w:t>
            </w:r>
          </w:p>
        </w:tc>
      </w:tr>
    </w:tbl>
    <w:p w:rsidR="001F39F9" w:rsidRPr="001F39F9" w:rsidRDefault="001F39F9" w:rsidP="008309CF">
      <w:pPr>
        <w:ind w:right="98"/>
        <w:jc w:val="both"/>
        <w:rPr>
          <w:sz w:val="22"/>
          <w:szCs w:val="22"/>
        </w:rPr>
      </w:pPr>
      <w:r w:rsidRPr="001F39F9">
        <w:rPr>
          <w:sz w:val="22"/>
          <w:szCs w:val="22"/>
        </w:rPr>
        <w:t>A  l’unanimité, le Conseil Municipal, par 13 voix pour,  ratifie le compte administratif 2019 tel que résumé ci-dessus.</w:t>
      </w:r>
    </w:p>
    <w:p w:rsidR="001F39F9" w:rsidRPr="001F39F9" w:rsidRDefault="001F39F9" w:rsidP="001F39F9">
      <w:pPr>
        <w:ind w:right="-28"/>
        <w:jc w:val="both"/>
        <w:rPr>
          <w:sz w:val="22"/>
          <w:szCs w:val="22"/>
        </w:rPr>
      </w:pPr>
    </w:p>
    <w:p w:rsidR="001F39F9" w:rsidRPr="001F39F9" w:rsidRDefault="001F39F9" w:rsidP="001F39F9">
      <w:pPr>
        <w:ind w:firstLine="708"/>
        <w:rPr>
          <w:b/>
          <w:sz w:val="28"/>
          <w:szCs w:val="28"/>
          <w:u w:val="single"/>
        </w:rPr>
      </w:pPr>
      <w:r w:rsidRPr="001F39F9">
        <w:rPr>
          <w:b/>
          <w:sz w:val="28"/>
          <w:szCs w:val="28"/>
          <w:u w:val="single"/>
        </w:rPr>
        <w:t xml:space="preserve">4. vote des contributions directes </w:t>
      </w:r>
    </w:p>
    <w:p w:rsidR="001F39F9" w:rsidRPr="001F39F9" w:rsidRDefault="001F39F9" w:rsidP="001F39F9">
      <w:pPr>
        <w:jc w:val="both"/>
        <w:rPr>
          <w:b/>
          <w:snapToGrid w:val="0"/>
          <w:sz w:val="22"/>
          <w:szCs w:val="22"/>
          <w:u w:val="single"/>
        </w:rPr>
      </w:pPr>
      <w:r w:rsidRPr="001F39F9">
        <w:rPr>
          <w:b/>
          <w:snapToGrid w:val="0"/>
          <w:sz w:val="22"/>
          <w:szCs w:val="22"/>
          <w:u w:val="single"/>
        </w:rPr>
        <w:t>Délibération n° 09 : Vote des taux des contributions directes 2020</w:t>
      </w:r>
    </w:p>
    <w:p w:rsidR="001F39F9" w:rsidRPr="001F39F9" w:rsidRDefault="001F39F9" w:rsidP="001F39F9">
      <w:pPr>
        <w:jc w:val="both"/>
      </w:pPr>
      <w:r w:rsidRPr="001F39F9">
        <w:t xml:space="preserve">A l’unanimité, le Conseil Municipal décide de ne pas augmenter les taux d’impositions et de les maintenir identiques depuis 2012. Ils sont donc fixés comme suit : </w:t>
      </w:r>
    </w:p>
    <w:p w:rsidR="001F39F9" w:rsidRPr="001F39F9" w:rsidRDefault="001F39F9" w:rsidP="001F39F9">
      <w:pPr>
        <w:jc w:val="both"/>
      </w:pPr>
      <w:r w:rsidRPr="001F39F9">
        <w:t>Taxe d’habitation : 13,06%</w:t>
      </w:r>
    </w:p>
    <w:p w:rsidR="001F39F9" w:rsidRPr="001F39F9" w:rsidRDefault="001F39F9" w:rsidP="001F39F9">
      <w:pPr>
        <w:jc w:val="both"/>
      </w:pPr>
      <w:r w:rsidRPr="001F39F9">
        <w:t>Taxe foncière bâtie : 18,50%</w:t>
      </w:r>
    </w:p>
    <w:p w:rsidR="001F39F9" w:rsidRDefault="001F39F9" w:rsidP="001F39F9">
      <w:pPr>
        <w:jc w:val="both"/>
      </w:pPr>
      <w:r w:rsidRPr="001F39F9">
        <w:t>Taxe foncière non bâtie : 65,72%</w:t>
      </w:r>
    </w:p>
    <w:p w:rsidR="001F39F9" w:rsidRDefault="001F39F9" w:rsidP="008309CF">
      <w:pPr>
        <w:ind w:right="-648"/>
        <w:jc w:val="both"/>
        <w:rPr>
          <w:b/>
          <w:sz w:val="28"/>
          <w:szCs w:val="28"/>
          <w:u w:val="single"/>
        </w:rPr>
      </w:pPr>
    </w:p>
    <w:p w:rsidR="001F39F9" w:rsidRPr="005C434F" w:rsidRDefault="001F39F9" w:rsidP="001F39F9">
      <w:pPr>
        <w:ind w:left="900" w:right="-648" w:hanging="360"/>
        <w:jc w:val="both"/>
        <w:rPr>
          <w:b/>
          <w:sz w:val="28"/>
          <w:szCs w:val="28"/>
          <w:u w:val="single"/>
        </w:rPr>
      </w:pPr>
      <w:r w:rsidRPr="005C434F">
        <w:rPr>
          <w:b/>
          <w:sz w:val="28"/>
          <w:szCs w:val="28"/>
          <w:u w:val="single"/>
        </w:rPr>
        <w:t>5. Vote du Budget Primitif 2020</w:t>
      </w:r>
    </w:p>
    <w:p w:rsidR="001F39F9" w:rsidRPr="001F39F9" w:rsidRDefault="001F39F9" w:rsidP="001F39F9">
      <w:pPr>
        <w:ind w:right="98"/>
        <w:jc w:val="both"/>
        <w:rPr>
          <w:b/>
          <w:sz w:val="22"/>
          <w:szCs w:val="22"/>
          <w:u w:val="single"/>
        </w:rPr>
      </w:pPr>
      <w:r w:rsidRPr="001F39F9">
        <w:rPr>
          <w:b/>
          <w:sz w:val="22"/>
          <w:szCs w:val="22"/>
          <w:u w:val="single"/>
        </w:rPr>
        <w:t>Délibération n° 10 : Report des résultats de l’exercice 2019</w:t>
      </w:r>
    </w:p>
    <w:p w:rsidR="001F39F9" w:rsidRPr="001F39F9" w:rsidRDefault="001F39F9" w:rsidP="001F39F9">
      <w:pPr>
        <w:rPr>
          <w:sz w:val="22"/>
          <w:szCs w:val="22"/>
        </w:rPr>
      </w:pPr>
      <w:r w:rsidRPr="001F39F9">
        <w:rPr>
          <w:sz w:val="22"/>
          <w:szCs w:val="22"/>
        </w:rPr>
        <w:t>Constatant que le Compte Administratif fait apparaître :</w:t>
      </w:r>
    </w:p>
    <w:p w:rsidR="001F39F9" w:rsidRPr="001F39F9" w:rsidRDefault="001F39F9" w:rsidP="001F39F9">
      <w:pPr>
        <w:pStyle w:val="Paragraphedeliste"/>
        <w:numPr>
          <w:ilvl w:val="0"/>
          <w:numId w:val="1"/>
        </w:numPr>
        <w:tabs>
          <w:tab w:val="clear" w:pos="1608"/>
          <w:tab w:val="num" w:pos="709"/>
        </w:tabs>
        <w:ind w:left="709" w:hanging="1"/>
        <w:rPr>
          <w:sz w:val="22"/>
          <w:szCs w:val="22"/>
        </w:rPr>
      </w:pPr>
      <w:r w:rsidRPr="001F39F9">
        <w:rPr>
          <w:sz w:val="22"/>
          <w:szCs w:val="22"/>
        </w:rPr>
        <w:t>un excédent de fonctionnement de 378 275.22 € et,</w:t>
      </w:r>
    </w:p>
    <w:p w:rsidR="001F39F9" w:rsidRPr="001F39F9" w:rsidRDefault="001F39F9" w:rsidP="001F39F9">
      <w:pPr>
        <w:pStyle w:val="Paragraphedeliste"/>
        <w:numPr>
          <w:ilvl w:val="0"/>
          <w:numId w:val="1"/>
        </w:numPr>
        <w:tabs>
          <w:tab w:val="clear" w:pos="1608"/>
          <w:tab w:val="num" w:pos="709"/>
        </w:tabs>
        <w:ind w:left="709" w:hanging="1"/>
        <w:rPr>
          <w:sz w:val="22"/>
          <w:szCs w:val="22"/>
        </w:rPr>
      </w:pPr>
      <w:r w:rsidRPr="001F39F9">
        <w:rPr>
          <w:sz w:val="22"/>
          <w:szCs w:val="22"/>
        </w:rPr>
        <w:t>un déficit d’investissement de 9773.61€</w:t>
      </w:r>
    </w:p>
    <w:p w:rsidR="001F39F9" w:rsidRPr="001F39F9" w:rsidRDefault="001F39F9" w:rsidP="001F39F9">
      <w:pPr>
        <w:rPr>
          <w:sz w:val="22"/>
          <w:szCs w:val="22"/>
        </w:rPr>
      </w:pPr>
      <w:r w:rsidRPr="001F39F9">
        <w:rPr>
          <w:sz w:val="22"/>
          <w:szCs w:val="22"/>
        </w:rPr>
        <w:t xml:space="preserve"> Le Conseil Municipal à l’unanimité, par 13 voix pour, décide d’affecter le résultat comme suit :</w:t>
      </w:r>
    </w:p>
    <w:p w:rsidR="001F39F9" w:rsidRPr="001F39F9" w:rsidRDefault="001F39F9" w:rsidP="001F39F9">
      <w:pPr>
        <w:rPr>
          <w:sz w:val="22"/>
          <w:szCs w:val="22"/>
        </w:rPr>
      </w:pPr>
      <w:proofErr w:type="gramStart"/>
      <w:r w:rsidRPr="001F39F9">
        <w:rPr>
          <w:sz w:val="22"/>
          <w:szCs w:val="22"/>
        </w:rPr>
        <w:t>un</w:t>
      </w:r>
      <w:proofErr w:type="gramEnd"/>
      <w:r w:rsidRPr="001F39F9">
        <w:rPr>
          <w:sz w:val="22"/>
          <w:szCs w:val="22"/>
        </w:rPr>
        <w:t xml:space="preserve"> excédent de fonctionnement reporté (002) de 288278.22  €,</w:t>
      </w:r>
    </w:p>
    <w:p w:rsidR="001F39F9" w:rsidRPr="001F39F9" w:rsidRDefault="001F39F9" w:rsidP="001F39F9">
      <w:pPr>
        <w:rPr>
          <w:sz w:val="22"/>
          <w:szCs w:val="22"/>
        </w:rPr>
      </w:pPr>
      <w:proofErr w:type="gramStart"/>
      <w:r w:rsidRPr="001F39F9">
        <w:rPr>
          <w:sz w:val="22"/>
          <w:szCs w:val="22"/>
        </w:rPr>
        <w:t>une</w:t>
      </w:r>
      <w:proofErr w:type="gramEnd"/>
      <w:r w:rsidRPr="001F39F9">
        <w:rPr>
          <w:sz w:val="22"/>
          <w:szCs w:val="22"/>
        </w:rPr>
        <w:t xml:space="preserve"> recette d’investissement (1068) de 90 000,00 €</w:t>
      </w:r>
    </w:p>
    <w:p w:rsidR="001F39F9" w:rsidRPr="001F39F9" w:rsidRDefault="001F39F9" w:rsidP="001F39F9">
      <w:pPr>
        <w:rPr>
          <w:sz w:val="22"/>
          <w:szCs w:val="22"/>
        </w:rPr>
      </w:pPr>
      <w:proofErr w:type="gramStart"/>
      <w:r w:rsidRPr="001F39F9">
        <w:rPr>
          <w:sz w:val="22"/>
          <w:szCs w:val="22"/>
        </w:rPr>
        <w:t>un</w:t>
      </w:r>
      <w:proofErr w:type="gramEnd"/>
      <w:r w:rsidRPr="001F39F9">
        <w:rPr>
          <w:sz w:val="22"/>
          <w:szCs w:val="22"/>
        </w:rPr>
        <w:t xml:space="preserve"> déficit d’investissement reporté (001) de 9773,61 €,</w:t>
      </w:r>
    </w:p>
    <w:p w:rsidR="001F39F9" w:rsidRPr="001F39F9" w:rsidRDefault="001F39F9" w:rsidP="001F39F9">
      <w:pPr>
        <w:rPr>
          <w:sz w:val="22"/>
          <w:szCs w:val="22"/>
        </w:rPr>
      </w:pPr>
      <w:proofErr w:type="gramStart"/>
      <w:r w:rsidRPr="001F39F9">
        <w:rPr>
          <w:sz w:val="22"/>
          <w:szCs w:val="22"/>
        </w:rPr>
        <w:t>un</w:t>
      </w:r>
      <w:proofErr w:type="gramEnd"/>
      <w:r w:rsidRPr="001F39F9">
        <w:rPr>
          <w:sz w:val="22"/>
          <w:szCs w:val="22"/>
        </w:rPr>
        <w:t xml:space="preserve"> virement de la section de fonctionnement (023) en section d’investissement (021) de 69161,00€   </w:t>
      </w:r>
    </w:p>
    <w:p w:rsidR="001F39F9" w:rsidRPr="001F39F9" w:rsidRDefault="001F39F9" w:rsidP="001F39F9">
      <w:pPr>
        <w:rPr>
          <w:sz w:val="22"/>
          <w:szCs w:val="22"/>
        </w:rPr>
      </w:pPr>
      <w:proofErr w:type="gramStart"/>
      <w:r w:rsidRPr="001F39F9">
        <w:rPr>
          <w:sz w:val="22"/>
          <w:szCs w:val="22"/>
        </w:rPr>
        <w:t>les</w:t>
      </w:r>
      <w:proofErr w:type="gramEnd"/>
      <w:r w:rsidRPr="001F39F9">
        <w:rPr>
          <w:sz w:val="22"/>
          <w:szCs w:val="22"/>
        </w:rPr>
        <w:t xml:space="preserve"> restes à réaliser de 464357,16€ en dépenses d’investissement et de 231880€ en recettes d’investissement sont reportés sur le budget annexe Pôle Santé.</w:t>
      </w:r>
    </w:p>
    <w:p w:rsidR="001F39F9" w:rsidRPr="001F39F9" w:rsidRDefault="001F39F9" w:rsidP="001F39F9">
      <w:pPr>
        <w:rPr>
          <w:sz w:val="22"/>
          <w:szCs w:val="22"/>
        </w:rPr>
      </w:pPr>
      <w:r w:rsidRPr="001F39F9">
        <w:rPr>
          <w:sz w:val="22"/>
          <w:szCs w:val="22"/>
        </w:rPr>
        <w:t xml:space="preserve">Un virement du budget primitif vers le budget annexe de 70000€           </w:t>
      </w:r>
    </w:p>
    <w:p w:rsidR="001F39F9" w:rsidRPr="001F39F9" w:rsidRDefault="001F39F9" w:rsidP="001F39F9">
      <w:pPr>
        <w:ind w:right="98"/>
        <w:jc w:val="both"/>
      </w:pPr>
    </w:p>
    <w:p w:rsidR="001F39F9" w:rsidRPr="001F39F9" w:rsidRDefault="001F39F9" w:rsidP="001F39F9">
      <w:pPr>
        <w:ind w:right="98"/>
        <w:jc w:val="both"/>
        <w:rPr>
          <w:b/>
          <w:sz w:val="22"/>
          <w:szCs w:val="22"/>
          <w:u w:val="single"/>
        </w:rPr>
      </w:pPr>
      <w:bookmarkStart w:id="0" w:name="OLE_LINK1"/>
      <w:bookmarkStart w:id="1" w:name="OLE_LINK2"/>
      <w:r w:rsidRPr="001F39F9">
        <w:rPr>
          <w:b/>
          <w:sz w:val="22"/>
          <w:szCs w:val="22"/>
          <w:u w:val="single"/>
        </w:rPr>
        <w:t>Délibération n°11 : Vote du budget primitif 2020</w:t>
      </w:r>
    </w:p>
    <w:p w:rsidR="001F39F9" w:rsidRPr="001F39F9" w:rsidRDefault="001F39F9" w:rsidP="001F39F9">
      <w:pPr>
        <w:ind w:right="98"/>
        <w:jc w:val="both"/>
        <w:rPr>
          <w:sz w:val="22"/>
          <w:szCs w:val="22"/>
        </w:rPr>
      </w:pPr>
      <w:r w:rsidRPr="001F39F9">
        <w:rPr>
          <w:sz w:val="22"/>
          <w:szCs w:val="22"/>
        </w:rPr>
        <w:t>Madame le Maire présente, aux membres du Conseil Municipal, le budget primitif 2020, avec lecture de l’intégralité des articles et des crédits à ouvrir.</w:t>
      </w:r>
    </w:p>
    <w:p w:rsidR="001F39F9" w:rsidRPr="001F39F9" w:rsidRDefault="001F39F9" w:rsidP="001F39F9">
      <w:pPr>
        <w:ind w:right="98"/>
        <w:jc w:val="both"/>
        <w:rPr>
          <w:sz w:val="22"/>
          <w:szCs w:val="22"/>
        </w:rPr>
      </w:pPr>
      <w:r w:rsidRPr="001F39F9">
        <w:rPr>
          <w:sz w:val="22"/>
          <w:szCs w:val="22"/>
        </w:rPr>
        <w:t>A l’unanimité par 13 voix pour,  le Conseil Municipal approuve et vote le Budget Primitif 2020 qui s’élève en recettes et en dépenses :</w:t>
      </w:r>
    </w:p>
    <w:p w:rsidR="001F39F9" w:rsidRPr="001F39F9" w:rsidRDefault="001F39F9" w:rsidP="001F39F9">
      <w:pPr>
        <w:jc w:val="both"/>
        <w:rPr>
          <w:color w:val="70AD47"/>
          <w:sz w:val="22"/>
          <w:szCs w:val="22"/>
        </w:rPr>
      </w:pPr>
      <w:r w:rsidRPr="001F39F9">
        <w:rPr>
          <w:sz w:val="22"/>
          <w:szCs w:val="22"/>
        </w:rPr>
        <w:t xml:space="preserve"> - en section de fonctionnement à 1 021 451.22 €,</w:t>
      </w:r>
    </w:p>
    <w:p w:rsidR="001F39F9" w:rsidRPr="001F39F9" w:rsidRDefault="001F39F9" w:rsidP="001F39F9">
      <w:pPr>
        <w:jc w:val="both"/>
        <w:rPr>
          <w:sz w:val="22"/>
          <w:szCs w:val="22"/>
        </w:rPr>
      </w:pPr>
      <w:r w:rsidRPr="001F39F9">
        <w:rPr>
          <w:sz w:val="22"/>
          <w:szCs w:val="22"/>
        </w:rPr>
        <w:t xml:space="preserve"> - en section d’investissement à  229 115,00 €.</w:t>
      </w:r>
    </w:p>
    <w:bookmarkEnd w:id="0"/>
    <w:bookmarkEnd w:id="1"/>
    <w:p w:rsidR="001F39F9" w:rsidRDefault="001F39F9" w:rsidP="001F39F9">
      <w:pPr>
        <w:ind w:right="-648"/>
        <w:rPr>
          <w:b/>
        </w:rPr>
      </w:pPr>
    </w:p>
    <w:p w:rsidR="001F39F9" w:rsidRPr="001F39F9" w:rsidRDefault="001F39F9" w:rsidP="001F39F9">
      <w:pPr>
        <w:ind w:right="-28"/>
        <w:jc w:val="both"/>
        <w:rPr>
          <w:sz w:val="22"/>
          <w:szCs w:val="22"/>
        </w:rPr>
      </w:pPr>
      <w:r w:rsidRPr="001F39F9">
        <w:rPr>
          <w:b/>
          <w:sz w:val="22"/>
          <w:szCs w:val="22"/>
          <w:u w:val="single"/>
        </w:rPr>
        <w:t>Délibération n°12 : Attribution de compensation suite à transfert du PLU à la Communauté de Communes – amortissement sur une année et neutralisation</w:t>
      </w:r>
    </w:p>
    <w:p w:rsidR="001F39F9" w:rsidRPr="001F39F9" w:rsidRDefault="001F39F9" w:rsidP="001F39F9">
      <w:pPr>
        <w:pStyle w:val="msonormalsandbox"/>
        <w:shd w:val="clear" w:color="auto" w:fill="FFFFFF"/>
        <w:spacing w:before="0" w:beforeAutospacing="0" w:after="0" w:afterAutospacing="0"/>
        <w:rPr>
          <w:sz w:val="22"/>
          <w:szCs w:val="22"/>
        </w:rPr>
      </w:pPr>
      <w:r w:rsidRPr="001F39F9">
        <w:rPr>
          <w:sz w:val="22"/>
          <w:szCs w:val="22"/>
        </w:rPr>
        <w:t xml:space="preserve">Madame Lemaire, maire, rappelle la demande auprès de la CLECT d’intégrer les dépensées liées au PLU en section d’investissement. </w:t>
      </w:r>
    </w:p>
    <w:p w:rsidR="001F39F9" w:rsidRDefault="001F39F9" w:rsidP="001F39F9">
      <w:pPr>
        <w:pStyle w:val="msonormalsandbox"/>
        <w:shd w:val="clear" w:color="auto" w:fill="FFFFFF"/>
        <w:spacing w:before="0" w:beforeAutospacing="0" w:after="0" w:afterAutospacing="0"/>
        <w:rPr>
          <w:sz w:val="22"/>
          <w:szCs w:val="22"/>
        </w:rPr>
      </w:pPr>
      <w:r w:rsidRPr="001F39F9">
        <w:rPr>
          <w:sz w:val="22"/>
          <w:szCs w:val="22"/>
        </w:rPr>
        <w:t xml:space="preserve">Le Conseil Municipal, à l’unanimité,  précise que l’amortissement de cette somme interviendra 2020, sur une année, et décide à titre exceptionnel de neutraliser l’amortissement de cette </w:t>
      </w:r>
      <w:r w:rsidR="00E6175E">
        <w:rPr>
          <w:sz w:val="22"/>
          <w:szCs w:val="22"/>
        </w:rPr>
        <w:t>somme</w:t>
      </w:r>
      <w:r w:rsidRPr="001F39F9">
        <w:rPr>
          <w:sz w:val="22"/>
          <w:szCs w:val="22"/>
        </w:rPr>
        <w:t>, par écriture aux comptes 198-040 et 7768-042 pour un montant de 12825€ sur l’exercice 2020.</w:t>
      </w:r>
    </w:p>
    <w:p w:rsidR="001F39F9" w:rsidRPr="001F39F9" w:rsidRDefault="001F39F9" w:rsidP="001F39F9">
      <w:pPr>
        <w:pStyle w:val="msonormalsandbox"/>
        <w:shd w:val="clear" w:color="auto" w:fill="FFFFFF"/>
        <w:spacing w:before="0" w:beforeAutospacing="0" w:after="0" w:afterAutospacing="0"/>
        <w:rPr>
          <w:sz w:val="22"/>
          <w:szCs w:val="22"/>
        </w:rPr>
      </w:pPr>
    </w:p>
    <w:p w:rsidR="001F39F9" w:rsidRPr="001F39F9" w:rsidRDefault="001F39F9" w:rsidP="001F39F9">
      <w:pPr>
        <w:pStyle w:val="Paragraphedeliste"/>
        <w:numPr>
          <w:ilvl w:val="0"/>
          <w:numId w:val="4"/>
        </w:numPr>
        <w:ind w:right="-648"/>
        <w:jc w:val="both"/>
        <w:rPr>
          <w:b/>
          <w:sz w:val="28"/>
          <w:szCs w:val="28"/>
          <w:u w:val="single"/>
        </w:rPr>
      </w:pPr>
      <w:r w:rsidRPr="00CB35B3">
        <w:rPr>
          <w:b/>
          <w:sz w:val="28"/>
          <w:szCs w:val="28"/>
          <w:u w:val="single"/>
        </w:rPr>
        <w:t>Vote du Budget annexe Pôle Santé</w:t>
      </w:r>
    </w:p>
    <w:p w:rsidR="001F39F9" w:rsidRPr="001F39F9" w:rsidRDefault="001F39F9" w:rsidP="001F39F9">
      <w:pPr>
        <w:ind w:right="98"/>
        <w:jc w:val="both"/>
        <w:rPr>
          <w:b/>
          <w:sz w:val="22"/>
          <w:szCs w:val="22"/>
          <w:u w:val="single"/>
        </w:rPr>
      </w:pPr>
      <w:r w:rsidRPr="001F39F9">
        <w:rPr>
          <w:b/>
          <w:sz w:val="22"/>
          <w:szCs w:val="22"/>
          <w:u w:val="single"/>
        </w:rPr>
        <w:t>Délibération n°13 : Vote du budget primitif 2020</w:t>
      </w:r>
    </w:p>
    <w:p w:rsidR="001F39F9" w:rsidRPr="001F39F9" w:rsidRDefault="001F39F9" w:rsidP="001F39F9">
      <w:pPr>
        <w:ind w:right="98"/>
        <w:jc w:val="both"/>
        <w:rPr>
          <w:sz w:val="22"/>
          <w:szCs w:val="22"/>
        </w:rPr>
      </w:pPr>
      <w:r w:rsidRPr="001F39F9">
        <w:rPr>
          <w:sz w:val="22"/>
          <w:szCs w:val="22"/>
        </w:rPr>
        <w:t>Madame le Maire présente, aux membres du Conseil Municipal, le budget primitif 2020, avec lecture de l’intégralité des articles et des crédits à ouvrir.</w:t>
      </w:r>
    </w:p>
    <w:p w:rsidR="001F39F9" w:rsidRPr="001F39F9" w:rsidRDefault="001F39F9" w:rsidP="001F39F9">
      <w:pPr>
        <w:ind w:right="98"/>
        <w:jc w:val="both"/>
        <w:rPr>
          <w:sz w:val="22"/>
          <w:szCs w:val="22"/>
        </w:rPr>
      </w:pPr>
      <w:r w:rsidRPr="001F39F9">
        <w:rPr>
          <w:sz w:val="22"/>
          <w:szCs w:val="22"/>
        </w:rPr>
        <w:t>A l’unanimité par 13 voix pour,  le Conseil Municipal approuve et vote le Budget Primitif 2020 qui s’élève en recettes et en dépenses :</w:t>
      </w:r>
    </w:p>
    <w:p w:rsidR="001F39F9" w:rsidRPr="001F39F9" w:rsidRDefault="001F39F9" w:rsidP="001F39F9">
      <w:pPr>
        <w:jc w:val="both"/>
        <w:rPr>
          <w:color w:val="70AD47"/>
          <w:sz w:val="22"/>
          <w:szCs w:val="22"/>
        </w:rPr>
      </w:pPr>
      <w:r w:rsidRPr="001F39F9">
        <w:rPr>
          <w:sz w:val="22"/>
          <w:szCs w:val="22"/>
        </w:rPr>
        <w:t xml:space="preserve"> - en section de fonctionnement à 73955,00 €,</w:t>
      </w:r>
    </w:p>
    <w:p w:rsidR="001F39F9" w:rsidRPr="008309CF" w:rsidRDefault="001F39F9" w:rsidP="001F39F9">
      <w:pPr>
        <w:jc w:val="both"/>
        <w:rPr>
          <w:sz w:val="22"/>
          <w:szCs w:val="22"/>
        </w:rPr>
      </w:pPr>
      <w:r w:rsidRPr="001F39F9">
        <w:rPr>
          <w:sz w:val="22"/>
          <w:szCs w:val="22"/>
        </w:rPr>
        <w:t xml:space="preserve"> - en section d’investissement à  471305.03</w:t>
      </w:r>
      <w:r w:rsidR="008309CF">
        <w:rPr>
          <w:sz w:val="22"/>
          <w:szCs w:val="22"/>
        </w:rPr>
        <w:t xml:space="preserve"> €</w:t>
      </w:r>
    </w:p>
    <w:p w:rsidR="001F39F9" w:rsidRDefault="001F39F9" w:rsidP="001F39F9">
      <w:pPr>
        <w:jc w:val="both"/>
        <w:rPr>
          <w:i/>
          <w:sz w:val="22"/>
          <w:szCs w:val="22"/>
        </w:rPr>
      </w:pPr>
    </w:p>
    <w:p w:rsidR="001F39F9" w:rsidRPr="00FD3B84" w:rsidRDefault="001F39F9" w:rsidP="001F39F9">
      <w:pPr>
        <w:pStyle w:val="Paragraphedeliste"/>
        <w:numPr>
          <w:ilvl w:val="0"/>
          <w:numId w:val="4"/>
        </w:numPr>
        <w:ind w:right="-648"/>
        <w:jc w:val="both"/>
        <w:rPr>
          <w:b/>
          <w:u w:val="single"/>
        </w:rPr>
      </w:pPr>
      <w:r>
        <w:rPr>
          <w:b/>
          <w:u w:val="single"/>
        </w:rPr>
        <w:t>VOIRIE</w:t>
      </w:r>
    </w:p>
    <w:p w:rsidR="001F39F9" w:rsidRDefault="001F39F9" w:rsidP="001F39F9"/>
    <w:p w:rsidR="001F39F9" w:rsidRPr="001F39F9" w:rsidRDefault="001F39F9" w:rsidP="001F39F9">
      <w:pPr>
        <w:jc w:val="both"/>
        <w:rPr>
          <w:b/>
          <w:sz w:val="22"/>
          <w:szCs w:val="22"/>
        </w:rPr>
      </w:pPr>
      <w:r w:rsidRPr="001F39F9">
        <w:rPr>
          <w:b/>
          <w:sz w:val="22"/>
          <w:szCs w:val="22"/>
          <w:u w:val="single"/>
        </w:rPr>
        <w:t>Délibération n°16 : demande de subvention FDATT (fonds Départemental d’Aménagement et de Développement Durable du Territoire) – création d’un parcours sport nature.</w:t>
      </w:r>
      <w:r w:rsidRPr="001F39F9">
        <w:rPr>
          <w:b/>
          <w:sz w:val="22"/>
          <w:szCs w:val="22"/>
        </w:rPr>
        <w:t xml:space="preserve"> </w:t>
      </w:r>
    </w:p>
    <w:p w:rsidR="001F39F9" w:rsidRPr="001F39F9" w:rsidRDefault="001F39F9" w:rsidP="001F39F9">
      <w:pPr>
        <w:jc w:val="both"/>
        <w:rPr>
          <w:sz w:val="22"/>
          <w:szCs w:val="22"/>
        </w:rPr>
      </w:pPr>
      <w:r w:rsidRPr="001F39F9">
        <w:rPr>
          <w:sz w:val="22"/>
          <w:szCs w:val="22"/>
        </w:rPr>
        <w:t xml:space="preserve">Monsieur Couratin, conseiller municipal, présente le projet de de parcours sportif qui serait installé pour grande partie le long de l’Escotais et en plusieurs points de la commune avec création d’un circuit à travers le village sur des espaces naturels. Ce parcours comprend la pose de 8 équipements en bois, un panneau d’informations générales et des écriteaux en bois déclinant les différentes activités physiques relatives aux équipements en place. Ce choix des matériaux vise une meilleure intégration visuelle et environnementale. </w:t>
      </w:r>
    </w:p>
    <w:p w:rsidR="001F39F9" w:rsidRPr="001F39F9" w:rsidRDefault="001F39F9" w:rsidP="001F39F9">
      <w:pPr>
        <w:jc w:val="both"/>
        <w:rPr>
          <w:sz w:val="22"/>
          <w:szCs w:val="22"/>
        </w:rPr>
      </w:pPr>
      <w:r w:rsidRPr="001F39F9">
        <w:rPr>
          <w:sz w:val="22"/>
          <w:szCs w:val="22"/>
        </w:rPr>
        <w:t xml:space="preserve">Le Conseil Municipal, à la majorité (abstention de M. Moulin A.), décide d’arrêter un programme de 15828,49€HT pour la création d’un circuit à travers la commune et pose de différents équipements sportifs, notamment le long de l’Escotais. Le Conseil Municipal sollicite une subvention au taux le plus élevé auprès du Conseil Départemental au titre du FDATT. </w:t>
      </w:r>
    </w:p>
    <w:p w:rsidR="001F39F9" w:rsidRPr="001F39F9" w:rsidRDefault="001F39F9" w:rsidP="001F39F9">
      <w:pPr>
        <w:rPr>
          <w:sz w:val="22"/>
          <w:szCs w:val="22"/>
        </w:rPr>
      </w:pPr>
    </w:p>
    <w:p w:rsidR="001F39F9" w:rsidRPr="001F39F9" w:rsidRDefault="001F39F9" w:rsidP="001F39F9">
      <w:pPr>
        <w:jc w:val="both"/>
      </w:pPr>
      <w:r w:rsidRPr="001F39F9">
        <w:t>M. Couratin précise que ce sont des modules accessibles à tous, avec création d’un parcours à travers la commune. Les conseillers municipaux prennent connaissance des fiches techniques des équipements et des lieux proposés.</w:t>
      </w:r>
    </w:p>
    <w:p w:rsidR="001F39F9" w:rsidRPr="004C6D64" w:rsidRDefault="001F39F9" w:rsidP="001F39F9">
      <w:pPr>
        <w:jc w:val="both"/>
      </w:pPr>
      <w:r w:rsidRPr="004C6D64">
        <w:t xml:space="preserve"> </w:t>
      </w:r>
    </w:p>
    <w:p w:rsidR="001F39F9" w:rsidRDefault="001F39F9" w:rsidP="001F39F9">
      <w:pPr>
        <w:pStyle w:val="Paragraphedeliste"/>
        <w:numPr>
          <w:ilvl w:val="0"/>
          <w:numId w:val="4"/>
        </w:numPr>
        <w:rPr>
          <w:b/>
          <w:sz w:val="28"/>
          <w:szCs w:val="28"/>
          <w:u w:val="single"/>
        </w:rPr>
      </w:pPr>
      <w:r>
        <w:rPr>
          <w:b/>
          <w:sz w:val="28"/>
          <w:szCs w:val="28"/>
          <w:u w:val="single"/>
        </w:rPr>
        <w:t>Bâtiments</w:t>
      </w:r>
    </w:p>
    <w:p w:rsidR="001F39F9" w:rsidRDefault="001F39F9" w:rsidP="001F39F9">
      <w:pPr>
        <w:rPr>
          <w:b/>
          <w:sz w:val="28"/>
          <w:szCs w:val="28"/>
          <w:u w:val="single"/>
        </w:rPr>
      </w:pPr>
    </w:p>
    <w:p w:rsidR="001F39F9" w:rsidRPr="001F39F9" w:rsidRDefault="001F39F9" w:rsidP="001F39F9">
      <w:pPr>
        <w:jc w:val="both"/>
        <w:rPr>
          <w:sz w:val="22"/>
          <w:szCs w:val="22"/>
        </w:rPr>
      </w:pPr>
      <w:r w:rsidRPr="001F39F9">
        <w:rPr>
          <w:b/>
          <w:sz w:val="22"/>
          <w:szCs w:val="22"/>
          <w:u w:val="single"/>
        </w:rPr>
        <w:t xml:space="preserve">Délibération n°14 : Ecole maternelle : remplacement chauffe-eau et pose d’un réducteur de pression </w:t>
      </w:r>
    </w:p>
    <w:p w:rsidR="001F39F9" w:rsidRPr="001F39F9" w:rsidRDefault="001F39F9" w:rsidP="001F39F9">
      <w:pPr>
        <w:jc w:val="both"/>
        <w:rPr>
          <w:sz w:val="22"/>
          <w:szCs w:val="22"/>
        </w:rPr>
      </w:pPr>
      <w:r w:rsidRPr="001F39F9">
        <w:rPr>
          <w:sz w:val="22"/>
          <w:szCs w:val="22"/>
        </w:rPr>
        <w:t xml:space="preserve">Madame Lemaire fait part de la nécessité du changement du chauffe-eau de l’école maternelle qui est percé. Le montant du devis s’élève à 700,87€HT, soit 841,04€TTC.Le Conseil Municipal,  à l’unanimité, accepte ce devis. </w:t>
      </w:r>
    </w:p>
    <w:p w:rsidR="001F39F9" w:rsidRPr="001F39F9" w:rsidRDefault="001F39F9" w:rsidP="001F39F9">
      <w:pPr>
        <w:jc w:val="both"/>
        <w:rPr>
          <w:b/>
          <w:sz w:val="22"/>
          <w:szCs w:val="22"/>
          <w:u w:val="single"/>
        </w:rPr>
      </w:pPr>
    </w:p>
    <w:p w:rsidR="001F39F9" w:rsidRPr="001F39F9" w:rsidRDefault="001F39F9" w:rsidP="001F39F9">
      <w:pPr>
        <w:jc w:val="both"/>
        <w:rPr>
          <w:sz w:val="22"/>
          <w:szCs w:val="22"/>
        </w:rPr>
      </w:pPr>
      <w:r w:rsidRPr="001F39F9">
        <w:rPr>
          <w:b/>
          <w:sz w:val="22"/>
          <w:szCs w:val="22"/>
          <w:u w:val="single"/>
        </w:rPr>
        <w:t xml:space="preserve">Délibération n°15 : Ecole maternelle : remplacement d’un radiateur </w:t>
      </w:r>
    </w:p>
    <w:p w:rsidR="001F39F9" w:rsidRPr="001F39F9" w:rsidRDefault="001F39F9" w:rsidP="001F39F9">
      <w:pPr>
        <w:jc w:val="both"/>
        <w:rPr>
          <w:sz w:val="22"/>
          <w:szCs w:val="22"/>
        </w:rPr>
      </w:pPr>
      <w:r w:rsidRPr="001F39F9">
        <w:rPr>
          <w:sz w:val="22"/>
          <w:szCs w:val="22"/>
        </w:rPr>
        <w:t>Madame Lemaire fait part de la nécessité du changement d’un radiateur situé à l’école maternelle. Le montant du devis s’élève à 799,26€HT, soit 959,11€TTC.Le Conseil Municipal, à l’unanimité, accepte ce devis.</w:t>
      </w:r>
    </w:p>
    <w:p w:rsidR="001F39F9" w:rsidRPr="00781505" w:rsidRDefault="001F39F9" w:rsidP="001F39F9">
      <w:pPr>
        <w:rPr>
          <w:b/>
          <w:sz w:val="28"/>
          <w:szCs w:val="28"/>
          <w:u w:val="single"/>
        </w:rPr>
      </w:pPr>
    </w:p>
    <w:p w:rsidR="001F39F9" w:rsidRDefault="001F39F9" w:rsidP="001F39F9">
      <w:pPr>
        <w:pStyle w:val="Paragraphedeliste"/>
        <w:numPr>
          <w:ilvl w:val="0"/>
          <w:numId w:val="4"/>
        </w:numPr>
        <w:rPr>
          <w:b/>
          <w:sz w:val="28"/>
          <w:szCs w:val="28"/>
          <w:u w:val="single"/>
        </w:rPr>
      </w:pPr>
      <w:r>
        <w:rPr>
          <w:b/>
          <w:sz w:val="28"/>
          <w:szCs w:val="28"/>
          <w:u w:val="single"/>
        </w:rPr>
        <w:t xml:space="preserve"> Cimetière</w:t>
      </w:r>
    </w:p>
    <w:p w:rsidR="001F39F9" w:rsidRPr="00781505" w:rsidRDefault="001F39F9" w:rsidP="001F39F9">
      <w:pPr>
        <w:jc w:val="both"/>
      </w:pPr>
      <w:r w:rsidRPr="00781505">
        <w:t>Ce point est reporté à la prochaine séance.</w:t>
      </w:r>
    </w:p>
    <w:p w:rsidR="001F39F9" w:rsidRDefault="001F39F9" w:rsidP="001F39F9">
      <w:pPr>
        <w:jc w:val="both"/>
        <w:rPr>
          <w:sz w:val="22"/>
          <w:szCs w:val="22"/>
        </w:rPr>
      </w:pPr>
    </w:p>
    <w:p w:rsidR="00806C06" w:rsidRDefault="00806C06" w:rsidP="001F39F9">
      <w:pPr>
        <w:jc w:val="both"/>
        <w:rPr>
          <w:sz w:val="22"/>
          <w:szCs w:val="22"/>
        </w:rPr>
      </w:pPr>
    </w:p>
    <w:p w:rsidR="00806C06" w:rsidRDefault="00806C06" w:rsidP="001F39F9">
      <w:pPr>
        <w:jc w:val="both"/>
        <w:rPr>
          <w:sz w:val="22"/>
          <w:szCs w:val="22"/>
        </w:rPr>
      </w:pPr>
    </w:p>
    <w:p w:rsidR="00806C06" w:rsidRDefault="00806C06" w:rsidP="001F39F9">
      <w:pPr>
        <w:jc w:val="both"/>
        <w:rPr>
          <w:sz w:val="22"/>
          <w:szCs w:val="22"/>
        </w:rPr>
      </w:pPr>
    </w:p>
    <w:p w:rsidR="001F39F9" w:rsidRPr="00781505" w:rsidRDefault="001F39F9" w:rsidP="001F39F9">
      <w:pPr>
        <w:pStyle w:val="Paragraphedeliste"/>
        <w:numPr>
          <w:ilvl w:val="0"/>
          <w:numId w:val="4"/>
        </w:numPr>
        <w:jc w:val="both"/>
        <w:rPr>
          <w:b/>
          <w:sz w:val="28"/>
          <w:szCs w:val="28"/>
        </w:rPr>
      </w:pPr>
      <w:r w:rsidRPr="00781505">
        <w:rPr>
          <w:b/>
          <w:sz w:val="28"/>
          <w:szCs w:val="28"/>
        </w:rPr>
        <w:t>PLU</w:t>
      </w:r>
    </w:p>
    <w:p w:rsidR="001F39F9" w:rsidRDefault="001F39F9" w:rsidP="001F39F9">
      <w:pPr>
        <w:jc w:val="both"/>
        <w:rPr>
          <w:sz w:val="22"/>
          <w:szCs w:val="22"/>
        </w:rPr>
      </w:pPr>
    </w:p>
    <w:p w:rsidR="001F39F9" w:rsidRPr="001F39F9" w:rsidRDefault="001F39F9" w:rsidP="001F39F9">
      <w:pPr>
        <w:jc w:val="both"/>
        <w:rPr>
          <w:b/>
          <w:sz w:val="22"/>
          <w:szCs w:val="22"/>
          <w:u w:val="single"/>
        </w:rPr>
      </w:pPr>
      <w:r w:rsidRPr="001F39F9">
        <w:rPr>
          <w:b/>
          <w:sz w:val="22"/>
          <w:szCs w:val="22"/>
          <w:u w:val="single"/>
        </w:rPr>
        <w:t>Délibération n°17 : Instauration du permis de démolir sur le territoire communal</w:t>
      </w:r>
    </w:p>
    <w:p w:rsidR="001F39F9" w:rsidRPr="001F39F9" w:rsidRDefault="001F39F9" w:rsidP="001F39F9">
      <w:pPr>
        <w:pStyle w:val="UISMcorpsdetxt"/>
        <w:spacing w:after="0"/>
        <w:rPr>
          <w:rFonts w:ascii="Times New Roman" w:hAnsi="Times New Roman"/>
          <w:sz w:val="22"/>
        </w:rPr>
      </w:pPr>
      <w:r w:rsidRPr="001F39F9">
        <w:rPr>
          <w:rFonts w:ascii="Times New Roman" w:hAnsi="Times New Roman"/>
          <w:b/>
          <w:sz w:val="22"/>
        </w:rPr>
        <w:t>Considérant</w:t>
      </w:r>
      <w:r w:rsidRPr="001F39F9">
        <w:rPr>
          <w:rFonts w:ascii="Times New Roman" w:hAnsi="Times New Roman"/>
          <w:sz w:val="22"/>
        </w:rPr>
        <w:t xml:space="preserve"> l’intérêt de maintenir la procédure d’obtention d’une décision favorable de permis de démolir permettant de garantir une bonne information sur l’évolution du bâti, la rénovation du cadre bâti de la commune, une préservation du bâti traditionnel pavillonnaire et de maintenir une harmonisation avec les constructions existantes ;</w:t>
      </w:r>
    </w:p>
    <w:p w:rsidR="001F39F9" w:rsidRPr="001F39F9" w:rsidRDefault="001F39F9" w:rsidP="001F39F9">
      <w:pPr>
        <w:pStyle w:val="UISMcorpsdetxt"/>
        <w:spacing w:after="0"/>
        <w:rPr>
          <w:rFonts w:ascii="Times New Roman" w:hAnsi="Times New Roman"/>
          <w:sz w:val="22"/>
        </w:rPr>
      </w:pPr>
      <w:r w:rsidRPr="001F39F9">
        <w:rPr>
          <w:rFonts w:ascii="Times New Roman" w:hAnsi="Times New Roman"/>
          <w:sz w:val="22"/>
        </w:rPr>
        <w:t>Le Conseil Municipal,  à l’unanimité, décide d’instaurer le permis de démolir sur l’ensemble du territoire communal pour tous travaux ayant pour objet de démolir ou de rendre inutilisable tout ou partie d’une construction, en application de l’article R.421-27 du Code de l’urbanisme.</w:t>
      </w:r>
    </w:p>
    <w:p w:rsidR="001F39F9" w:rsidRPr="00744AB4" w:rsidRDefault="001F39F9" w:rsidP="001F39F9">
      <w:r w:rsidRPr="001F39F9">
        <w:t>Madame Lemaire précise que le PLU</w:t>
      </w:r>
      <w:r w:rsidRPr="00744AB4">
        <w:t xml:space="preserve"> doit faire l’objet d’une approbation par délibération du conseil communautaire le 4 mars 2020.</w:t>
      </w:r>
    </w:p>
    <w:p w:rsidR="001F39F9" w:rsidRPr="00744AB4" w:rsidRDefault="001F39F9" w:rsidP="001F39F9"/>
    <w:p w:rsidR="001F39F9" w:rsidRPr="008309CF" w:rsidRDefault="001F39F9" w:rsidP="001F39F9">
      <w:pPr>
        <w:pStyle w:val="Paragraphedeliste"/>
        <w:numPr>
          <w:ilvl w:val="0"/>
          <w:numId w:val="4"/>
        </w:numPr>
        <w:rPr>
          <w:b/>
          <w:sz w:val="28"/>
          <w:szCs w:val="28"/>
        </w:rPr>
      </w:pPr>
      <w:r w:rsidRPr="008309CF">
        <w:rPr>
          <w:b/>
          <w:sz w:val="28"/>
          <w:szCs w:val="28"/>
        </w:rPr>
        <w:t>AGENDA</w:t>
      </w:r>
    </w:p>
    <w:p w:rsidR="001F39F9" w:rsidRPr="00744AB4" w:rsidRDefault="001F39F9" w:rsidP="001F39F9">
      <w:pPr>
        <w:rPr>
          <w:sz w:val="28"/>
          <w:szCs w:val="28"/>
        </w:rPr>
      </w:pPr>
    </w:p>
    <w:p w:rsidR="001F39F9" w:rsidRPr="00744AB4" w:rsidRDefault="001F39F9" w:rsidP="001F39F9">
      <w:pPr>
        <w:rPr>
          <w:sz w:val="20"/>
          <w:szCs w:val="20"/>
          <w:u w:val="single"/>
        </w:rPr>
      </w:pPr>
      <w:r w:rsidRPr="00744AB4">
        <w:rPr>
          <w:sz w:val="20"/>
          <w:szCs w:val="20"/>
          <w:u w:val="single"/>
        </w:rPr>
        <w:t xml:space="preserve"> Permanences Electorales</w:t>
      </w:r>
    </w:p>
    <w:p w:rsidR="001F39F9" w:rsidRPr="005F3780" w:rsidRDefault="001F39F9" w:rsidP="001F39F9">
      <w:pPr>
        <w:rPr>
          <w:sz w:val="20"/>
          <w:szCs w:val="20"/>
        </w:rPr>
      </w:pPr>
      <w:r w:rsidRPr="005F3780">
        <w:rPr>
          <w:sz w:val="20"/>
          <w:szCs w:val="20"/>
        </w:rPr>
        <w:t xml:space="preserve"> </w:t>
      </w:r>
    </w:p>
    <w:p w:rsidR="001F39F9" w:rsidRPr="005F3780" w:rsidRDefault="001F39F9" w:rsidP="001F39F9">
      <w:pPr>
        <w:ind w:left="1416" w:hanging="1416"/>
        <w:rPr>
          <w:sz w:val="22"/>
          <w:szCs w:val="22"/>
        </w:rPr>
      </w:pPr>
    </w:p>
    <w:tbl>
      <w:tblPr>
        <w:tblStyle w:val="Grilledutableau"/>
        <w:tblW w:w="0" w:type="auto"/>
        <w:tblInd w:w="1416" w:type="dxa"/>
        <w:tblLook w:val="04A0" w:firstRow="1" w:lastRow="0" w:firstColumn="1" w:lastColumn="0" w:noHBand="0" w:noVBand="1"/>
      </w:tblPr>
      <w:tblGrid>
        <w:gridCol w:w="2019"/>
        <w:gridCol w:w="2097"/>
        <w:gridCol w:w="2053"/>
        <w:gridCol w:w="2157"/>
      </w:tblGrid>
      <w:tr w:rsidR="001F39F9" w:rsidRPr="005F3780" w:rsidTr="008F7A02">
        <w:tc>
          <w:tcPr>
            <w:tcW w:w="2019" w:type="dxa"/>
          </w:tcPr>
          <w:p w:rsidR="001F39F9" w:rsidRPr="005F3780" w:rsidRDefault="001F39F9" w:rsidP="008F7A02">
            <w:pPr>
              <w:rPr>
                <w:sz w:val="22"/>
                <w:szCs w:val="22"/>
              </w:rPr>
            </w:pPr>
            <w:r w:rsidRPr="005F3780">
              <w:rPr>
                <w:sz w:val="22"/>
                <w:szCs w:val="22"/>
              </w:rPr>
              <w:t>8h00 – 10h30</w:t>
            </w:r>
          </w:p>
        </w:tc>
        <w:tc>
          <w:tcPr>
            <w:tcW w:w="2097" w:type="dxa"/>
          </w:tcPr>
          <w:p w:rsidR="001F39F9" w:rsidRPr="005F3780" w:rsidRDefault="001F39F9" w:rsidP="008F7A02">
            <w:pPr>
              <w:rPr>
                <w:sz w:val="22"/>
                <w:szCs w:val="22"/>
              </w:rPr>
            </w:pPr>
            <w:r w:rsidRPr="005F3780">
              <w:rPr>
                <w:sz w:val="22"/>
                <w:szCs w:val="22"/>
              </w:rPr>
              <w:t>Couratin</w:t>
            </w:r>
          </w:p>
        </w:tc>
        <w:tc>
          <w:tcPr>
            <w:tcW w:w="2053" w:type="dxa"/>
          </w:tcPr>
          <w:p w:rsidR="001F39F9" w:rsidRPr="005F3780" w:rsidRDefault="001F39F9" w:rsidP="008F7A02">
            <w:pPr>
              <w:rPr>
                <w:sz w:val="22"/>
                <w:szCs w:val="22"/>
              </w:rPr>
            </w:pPr>
            <w:r>
              <w:rPr>
                <w:sz w:val="22"/>
                <w:szCs w:val="22"/>
              </w:rPr>
              <w:t>Portenseigne</w:t>
            </w:r>
          </w:p>
        </w:tc>
        <w:tc>
          <w:tcPr>
            <w:tcW w:w="2157" w:type="dxa"/>
          </w:tcPr>
          <w:p w:rsidR="001F39F9" w:rsidRPr="005F3780" w:rsidRDefault="001F39F9" w:rsidP="008F7A02">
            <w:pPr>
              <w:rPr>
                <w:sz w:val="22"/>
                <w:szCs w:val="22"/>
              </w:rPr>
            </w:pPr>
            <w:r>
              <w:rPr>
                <w:sz w:val="22"/>
                <w:szCs w:val="22"/>
              </w:rPr>
              <w:t>Courtois</w:t>
            </w:r>
          </w:p>
        </w:tc>
      </w:tr>
      <w:tr w:rsidR="001F39F9" w:rsidRPr="005F3780" w:rsidTr="008F7A02">
        <w:tc>
          <w:tcPr>
            <w:tcW w:w="2019" w:type="dxa"/>
          </w:tcPr>
          <w:p w:rsidR="001F39F9" w:rsidRPr="005F3780" w:rsidRDefault="001F39F9" w:rsidP="008F7A02">
            <w:pPr>
              <w:rPr>
                <w:sz w:val="22"/>
                <w:szCs w:val="22"/>
              </w:rPr>
            </w:pPr>
            <w:r w:rsidRPr="005F3780">
              <w:rPr>
                <w:sz w:val="22"/>
                <w:szCs w:val="22"/>
              </w:rPr>
              <w:t>10h30 – 13h00</w:t>
            </w:r>
          </w:p>
        </w:tc>
        <w:tc>
          <w:tcPr>
            <w:tcW w:w="2097" w:type="dxa"/>
          </w:tcPr>
          <w:p w:rsidR="001F39F9" w:rsidRPr="005F3780" w:rsidRDefault="001F39F9" w:rsidP="008F7A02">
            <w:pPr>
              <w:rPr>
                <w:sz w:val="22"/>
                <w:szCs w:val="22"/>
              </w:rPr>
            </w:pPr>
            <w:r>
              <w:rPr>
                <w:sz w:val="22"/>
                <w:szCs w:val="22"/>
              </w:rPr>
              <w:t>Hocdé</w:t>
            </w:r>
          </w:p>
        </w:tc>
        <w:tc>
          <w:tcPr>
            <w:tcW w:w="2053" w:type="dxa"/>
          </w:tcPr>
          <w:p w:rsidR="001F39F9" w:rsidRPr="005F3780" w:rsidRDefault="001F39F9" w:rsidP="008F7A02">
            <w:pPr>
              <w:rPr>
                <w:sz w:val="22"/>
                <w:szCs w:val="22"/>
              </w:rPr>
            </w:pPr>
            <w:r w:rsidRPr="005F3780">
              <w:rPr>
                <w:sz w:val="22"/>
                <w:szCs w:val="22"/>
              </w:rPr>
              <w:t>Hervet</w:t>
            </w:r>
          </w:p>
        </w:tc>
        <w:tc>
          <w:tcPr>
            <w:tcW w:w="2157" w:type="dxa"/>
          </w:tcPr>
          <w:p w:rsidR="001F39F9" w:rsidRPr="005F3780" w:rsidRDefault="001F39F9" w:rsidP="008F7A02">
            <w:pPr>
              <w:rPr>
                <w:sz w:val="22"/>
                <w:szCs w:val="22"/>
              </w:rPr>
            </w:pPr>
            <w:r>
              <w:rPr>
                <w:sz w:val="22"/>
                <w:szCs w:val="22"/>
              </w:rPr>
              <w:t>Lascaud</w:t>
            </w:r>
          </w:p>
        </w:tc>
      </w:tr>
      <w:tr w:rsidR="001F39F9" w:rsidRPr="005F3780" w:rsidTr="008F7A02">
        <w:tc>
          <w:tcPr>
            <w:tcW w:w="2019" w:type="dxa"/>
          </w:tcPr>
          <w:p w:rsidR="001F39F9" w:rsidRPr="005F3780" w:rsidRDefault="001F39F9" w:rsidP="008F7A02">
            <w:pPr>
              <w:rPr>
                <w:sz w:val="22"/>
                <w:szCs w:val="22"/>
              </w:rPr>
            </w:pPr>
            <w:r w:rsidRPr="005F3780">
              <w:rPr>
                <w:sz w:val="22"/>
                <w:szCs w:val="22"/>
              </w:rPr>
              <w:t>13h00 – 15h30</w:t>
            </w:r>
          </w:p>
        </w:tc>
        <w:tc>
          <w:tcPr>
            <w:tcW w:w="2097" w:type="dxa"/>
          </w:tcPr>
          <w:p w:rsidR="001F39F9" w:rsidRPr="005F3780" w:rsidRDefault="001F39F9" w:rsidP="008F7A02">
            <w:pPr>
              <w:rPr>
                <w:sz w:val="22"/>
                <w:szCs w:val="22"/>
              </w:rPr>
            </w:pPr>
            <w:r w:rsidRPr="005F3780">
              <w:rPr>
                <w:sz w:val="22"/>
                <w:szCs w:val="22"/>
              </w:rPr>
              <w:t>Blanchard</w:t>
            </w:r>
          </w:p>
        </w:tc>
        <w:tc>
          <w:tcPr>
            <w:tcW w:w="2053" w:type="dxa"/>
          </w:tcPr>
          <w:p w:rsidR="001F39F9" w:rsidRPr="005F3780" w:rsidRDefault="001F39F9" w:rsidP="008F7A02">
            <w:pPr>
              <w:rPr>
                <w:sz w:val="22"/>
                <w:szCs w:val="22"/>
              </w:rPr>
            </w:pPr>
            <w:r>
              <w:rPr>
                <w:sz w:val="22"/>
                <w:szCs w:val="22"/>
              </w:rPr>
              <w:t>Guitton</w:t>
            </w:r>
          </w:p>
        </w:tc>
        <w:tc>
          <w:tcPr>
            <w:tcW w:w="2157" w:type="dxa"/>
          </w:tcPr>
          <w:p w:rsidR="001F39F9" w:rsidRPr="005F3780" w:rsidRDefault="001F39F9" w:rsidP="008F7A02">
            <w:pPr>
              <w:rPr>
                <w:sz w:val="22"/>
                <w:szCs w:val="22"/>
              </w:rPr>
            </w:pPr>
            <w:r w:rsidRPr="005F3780">
              <w:rPr>
                <w:sz w:val="22"/>
                <w:szCs w:val="22"/>
              </w:rPr>
              <w:t>Lemaire</w:t>
            </w:r>
          </w:p>
        </w:tc>
      </w:tr>
      <w:tr w:rsidR="001F39F9" w:rsidRPr="005F3780" w:rsidTr="008F7A02">
        <w:tc>
          <w:tcPr>
            <w:tcW w:w="2019" w:type="dxa"/>
          </w:tcPr>
          <w:p w:rsidR="001F39F9" w:rsidRPr="005F3780" w:rsidRDefault="001F39F9" w:rsidP="008F7A02">
            <w:pPr>
              <w:rPr>
                <w:sz w:val="22"/>
                <w:szCs w:val="22"/>
              </w:rPr>
            </w:pPr>
            <w:r w:rsidRPr="005F3780">
              <w:rPr>
                <w:sz w:val="22"/>
                <w:szCs w:val="22"/>
              </w:rPr>
              <w:t>15H30 – 18h00</w:t>
            </w:r>
          </w:p>
        </w:tc>
        <w:tc>
          <w:tcPr>
            <w:tcW w:w="2097" w:type="dxa"/>
          </w:tcPr>
          <w:p w:rsidR="001F39F9" w:rsidRPr="005F3780" w:rsidRDefault="001F39F9" w:rsidP="008F7A02">
            <w:pPr>
              <w:rPr>
                <w:sz w:val="22"/>
                <w:szCs w:val="22"/>
              </w:rPr>
            </w:pPr>
            <w:r w:rsidRPr="005F3780">
              <w:rPr>
                <w:sz w:val="22"/>
                <w:szCs w:val="22"/>
              </w:rPr>
              <w:t>Obligis</w:t>
            </w:r>
          </w:p>
        </w:tc>
        <w:tc>
          <w:tcPr>
            <w:tcW w:w="2053" w:type="dxa"/>
          </w:tcPr>
          <w:p w:rsidR="001F39F9" w:rsidRPr="005F3780" w:rsidRDefault="001F39F9" w:rsidP="008F7A02">
            <w:pPr>
              <w:rPr>
                <w:sz w:val="22"/>
                <w:szCs w:val="22"/>
              </w:rPr>
            </w:pPr>
            <w:r>
              <w:rPr>
                <w:sz w:val="22"/>
                <w:szCs w:val="22"/>
              </w:rPr>
              <w:t>Renaud</w:t>
            </w:r>
          </w:p>
        </w:tc>
        <w:tc>
          <w:tcPr>
            <w:tcW w:w="2157" w:type="dxa"/>
          </w:tcPr>
          <w:p w:rsidR="001F39F9" w:rsidRPr="005F3780" w:rsidRDefault="001F39F9" w:rsidP="008F7A02">
            <w:pPr>
              <w:rPr>
                <w:sz w:val="22"/>
                <w:szCs w:val="22"/>
              </w:rPr>
            </w:pPr>
            <w:r>
              <w:rPr>
                <w:sz w:val="22"/>
                <w:szCs w:val="22"/>
              </w:rPr>
              <w:t>Meunier</w:t>
            </w:r>
          </w:p>
        </w:tc>
      </w:tr>
    </w:tbl>
    <w:p w:rsidR="001F39F9" w:rsidRPr="005F3780" w:rsidRDefault="001F39F9" w:rsidP="001F39F9">
      <w:pPr>
        <w:rPr>
          <w:sz w:val="20"/>
          <w:szCs w:val="20"/>
        </w:rPr>
      </w:pPr>
    </w:p>
    <w:p w:rsidR="001F39F9" w:rsidRPr="005F3780" w:rsidRDefault="001F39F9" w:rsidP="001F39F9">
      <w:pPr>
        <w:rPr>
          <w:sz w:val="20"/>
          <w:szCs w:val="20"/>
        </w:rPr>
      </w:pPr>
    </w:p>
    <w:p w:rsidR="001F39F9" w:rsidRPr="004C6D64" w:rsidRDefault="001F39F9" w:rsidP="001F39F9">
      <w:pPr>
        <w:pStyle w:val="Paragraphedeliste"/>
        <w:numPr>
          <w:ilvl w:val="0"/>
          <w:numId w:val="4"/>
        </w:numPr>
        <w:rPr>
          <w:b/>
          <w:sz w:val="28"/>
          <w:szCs w:val="28"/>
        </w:rPr>
      </w:pPr>
      <w:r w:rsidRPr="004C6D64">
        <w:rPr>
          <w:b/>
          <w:sz w:val="28"/>
          <w:szCs w:val="28"/>
        </w:rPr>
        <w:t xml:space="preserve"> Affaires Diverses</w:t>
      </w:r>
    </w:p>
    <w:p w:rsidR="001F39F9" w:rsidRDefault="001F39F9" w:rsidP="001F39F9">
      <w:pPr>
        <w:rPr>
          <w:sz w:val="22"/>
          <w:szCs w:val="22"/>
        </w:rPr>
      </w:pPr>
      <w:bookmarkStart w:id="2" w:name="_GoBack"/>
      <w:bookmarkEnd w:id="2"/>
      <w:r>
        <w:rPr>
          <w:sz w:val="22"/>
          <w:szCs w:val="22"/>
        </w:rPr>
        <w:t>Un bac à fleurs rue de la Souricière sera installé.</w:t>
      </w:r>
    </w:p>
    <w:p w:rsidR="001F39F9" w:rsidRDefault="001F39F9" w:rsidP="001F39F9">
      <w:pPr>
        <w:rPr>
          <w:sz w:val="22"/>
          <w:szCs w:val="22"/>
        </w:rPr>
      </w:pPr>
    </w:p>
    <w:p w:rsidR="001F39F9" w:rsidRDefault="001F39F9" w:rsidP="001F39F9">
      <w:pPr>
        <w:rPr>
          <w:sz w:val="22"/>
          <w:szCs w:val="22"/>
        </w:rPr>
      </w:pPr>
    </w:p>
    <w:sectPr w:rsidR="001F39F9" w:rsidSect="008309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E35"/>
    <w:multiLevelType w:val="hybridMultilevel"/>
    <w:tmpl w:val="53A07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F83C18"/>
    <w:multiLevelType w:val="hybridMultilevel"/>
    <w:tmpl w:val="908A70F4"/>
    <w:lvl w:ilvl="0" w:tplc="2A04202C">
      <w:numFmt w:val="bullet"/>
      <w:lvlText w:val="-"/>
      <w:lvlJc w:val="left"/>
      <w:pPr>
        <w:tabs>
          <w:tab w:val="num" w:pos="1608"/>
        </w:tabs>
        <w:ind w:left="1608" w:hanging="900"/>
      </w:pPr>
      <w:rPr>
        <w:rFonts w:ascii="Times New Roman" w:eastAsia="Times New Roman" w:hAnsi="Times New Roman" w:cs="Times New Roman" w:hint="default"/>
      </w:rPr>
    </w:lvl>
    <w:lvl w:ilvl="1" w:tplc="040C000F">
      <w:start w:val="1"/>
      <w:numFmt w:val="decimal"/>
      <w:lvlText w:val="%2."/>
      <w:lvlJc w:val="left"/>
      <w:pPr>
        <w:tabs>
          <w:tab w:val="num" w:pos="1788"/>
        </w:tabs>
        <w:ind w:left="1788" w:hanging="360"/>
      </w:pPr>
    </w:lvl>
    <w:lvl w:ilvl="2" w:tplc="A644302C">
      <w:start w:val="5"/>
      <w:numFmt w:val="decimal"/>
      <w:lvlText w:val="%3"/>
      <w:lvlJc w:val="left"/>
      <w:pPr>
        <w:tabs>
          <w:tab w:val="num" w:pos="2508"/>
        </w:tabs>
        <w:ind w:left="2508" w:hanging="360"/>
      </w:p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1855BD7"/>
    <w:multiLevelType w:val="hybridMultilevel"/>
    <w:tmpl w:val="E2489A4A"/>
    <w:lvl w:ilvl="0" w:tplc="6B889D24">
      <w:start w:val="6"/>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699837F9"/>
    <w:multiLevelType w:val="hybridMultilevel"/>
    <w:tmpl w:val="46848248"/>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6E6F7450"/>
    <w:multiLevelType w:val="hybridMultilevel"/>
    <w:tmpl w:val="40F2082A"/>
    <w:lvl w:ilvl="0" w:tplc="FECC6BA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lvlOverride w:ilvl="0"/>
    <w:lvlOverride w:ilvl="1">
      <w:startOverride w:val="1"/>
    </w:lvlOverride>
    <w:lvlOverride w:ilvl="2">
      <w:startOverride w:val="5"/>
    </w:lvlOverride>
    <w:lvlOverride w:ilvl="3"/>
    <w:lvlOverride w:ilvl="4"/>
    <w:lvlOverride w:ilvl="5"/>
    <w:lvlOverride w:ilvl="6"/>
    <w:lvlOverride w:ilvl="7"/>
    <w:lvlOverride w:ilvl="8"/>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F9"/>
    <w:rsid w:val="001F39F9"/>
    <w:rsid w:val="002E0DE4"/>
    <w:rsid w:val="00806C06"/>
    <w:rsid w:val="008309CF"/>
    <w:rsid w:val="00E617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4517F-8486-4DE4-8764-D08A735B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9F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F39F9"/>
    <w:pPr>
      <w:keepNext/>
      <w:jc w:val="right"/>
      <w:outlineLvl w:val="0"/>
    </w:pPr>
    <w:rPr>
      <w:b/>
      <w:bCs/>
    </w:rPr>
  </w:style>
  <w:style w:type="paragraph" w:styleId="Titre2">
    <w:name w:val="heading 2"/>
    <w:basedOn w:val="Normal"/>
    <w:next w:val="Normal"/>
    <w:link w:val="Titre2Car"/>
    <w:unhideWhenUsed/>
    <w:qFormat/>
    <w:rsid w:val="001F39F9"/>
    <w:pPr>
      <w:keepNext/>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F39F9"/>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1F39F9"/>
    <w:rPr>
      <w:rFonts w:ascii="Times New Roman" w:eastAsia="Times New Roman" w:hAnsi="Times New Roman" w:cs="Times New Roman"/>
      <w:b/>
      <w:bCs/>
      <w:sz w:val="24"/>
      <w:szCs w:val="24"/>
      <w:lang w:eastAsia="fr-FR"/>
    </w:rPr>
  </w:style>
  <w:style w:type="paragraph" w:styleId="Corpsdetexte">
    <w:name w:val="Body Text"/>
    <w:basedOn w:val="Normal"/>
    <w:link w:val="CorpsdetexteCar"/>
    <w:unhideWhenUsed/>
    <w:rsid w:val="001F39F9"/>
    <w:pPr>
      <w:jc w:val="both"/>
    </w:pPr>
    <w:rPr>
      <w:b/>
      <w:bCs/>
    </w:rPr>
  </w:style>
  <w:style w:type="character" w:customStyle="1" w:styleId="CorpsdetexteCar">
    <w:name w:val="Corps de texte Car"/>
    <w:basedOn w:val="Policepardfaut"/>
    <w:link w:val="Corpsdetexte"/>
    <w:rsid w:val="001F39F9"/>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1F39F9"/>
    <w:pPr>
      <w:ind w:left="720"/>
      <w:contextualSpacing/>
    </w:pPr>
  </w:style>
  <w:style w:type="table" w:styleId="Grilledutableau">
    <w:name w:val="Table Grid"/>
    <w:basedOn w:val="TableauNormal"/>
    <w:uiPriority w:val="39"/>
    <w:rsid w:val="001F3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unhideWhenUsed/>
    <w:rsid w:val="001F39F9"/>
    <w:pPr>
      <w:spacing w:after="120"/>
      <w:ind w:left="283"/>
    </w:pPr>
  </w:style>
  <w:style w:type="character" w:customStyle="1" w:styleId="RetraitcorpsdetexteCar">
    <w:name w:val="Retrait corps de texte Car"/>
    <w:basedOn w:val="Policepardfaut"/>
    <w:link w:val="Retraitcorpsdetexte"/>
    <w:uiPriority w:val="99"/>
    <w:rsid w:val="001F39F9"/>
    <w:rPr>
      <w:rFonts w:ascii="Times New Roman" w:eastAsia="Times New Roman" w:hAnsi="Times New Roman" w:cs="Times New Roman"/>
      <w:sz w:val="24"/>
      <w:szCs w:val="24"/>
      <w:lang w:eastAsia="fr-FR"/>
    </w:rPr>
  </w:style>
  <w:style w:type="paragraph" w:customStyle="1" w:styleId="msonormalsandbox">
    <w:name w:val="msonormal_sandbox"/>
    <w:basedOn w:val="Normal"/>
    <w:rsid w:val="001F39F9"/>
    <w:pPr>
      <w:spacing w:before="100" w:beforeAutospacing="1" w:after="100" w:afterAutospacing="1"/>
    </w:pPr>
  </w:style>
  <w:style w:type="paragraph" w:customStyle="1" w:styleId="UISMcorpsdetxt">
    <w:name w:val="UISM_corps de txt"/>
    <w:link w:val="UISMcorpsdetxtCar"/>
    <w:qFormat/>
    <w:rsid w:val="001F39F9"/>
    <w:pPr>
      <w:suppressAutoHyphens/>
      <w:spacing w:after="120" w:line="240" w:lineRule="auto"/>
      <w:jc w:val="both"/>
    </w:pPr>
    <w:rPr>
      <w:rFonts w:ascii="Arial Narrow" w:eastAsia="Calibri" w:hAnsi="Arial Narrow" w:cs="Times New Roman"/>
      <w:sz w:val="20"/>
    </w:rPr>
  </w:style>
  <w:style w:type="character" w:customStyle="1" w:styleId="UISMcorpsdetxtCar">
    <w:name w:val="UISM_corps de txt Car"/>
    <w:link w:val="UISMcorpsdetxt"/>
    <w:rsid w:val="001F39F9"/>
    <w:rPr>
      <w:rFonts w:ascii="Arial Narrow" w:eastAsia="Calibri" w:hAnsi="Arial Narrow"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1164</Words>
  <Characters>6406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accueil1</dc:creator>
  <cp:keywords/>
  <dc:description/>
  <cp:lastModifiedBy>accueil2</cp:lastModifiedBy>
  <cp:revision>3</cp:revision>
  <dcterms:created xsi:type="dcterms:W3CDTF">2020-07-30T12:40:00Z</dcterms:created>
  <dcterms:modified xsi:type="dcterms:W3CDTF">2020-08-10T10:01:00Z</dcterms:modified>
</cp:coreProperties>
</file>